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64290" w:rsidRDefault="00261736">
      <w:pP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MONTH</w:t>
      </w:r>
      <w:r>
        <w:rPr>
          <w:rFonts w:ascii="Times New Roman" w:eastAsia="Times New Roman" w:hAnsi="Times New Roman" w:cs="Times New Roman"/>
          <w:sz w:val="24"/>
          <w:szCs w:val="24"/>
        </w:rPr>
        <w:t>] [</w:t>
      </w:r>
      <w:r>
        <w:rPr>
          <w:rFonts w:ascii="Times New Roman" w:eastAsia="Times New Roman" w:hAnsi="Times New Roman" w:cs="Times New Roman"/>
          <w:sz w:val="24"/>
          <w:szCs w:val="24"/>
          <w:highlight w:val="yellow"/>
        </w:rPr>
        <w:t>XX</w:t>
      </w:r>
      <w:r>
        <w:rPr>
          <w:rFonts w:ascii="Times New Roman" w:eastAsia="Times New Roman" w:hAnsi="Times New Roman" w:cs="Times New Roman"/>
          <w:sz w:val="24"/>
          <w:szCs w:val="24"/>
        </w:rPr>
        <w:t>], 2019</w:t>
      </w:r>
    </w:p>
    <w:p w14:paraId="00000002"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3" w14:textId="77777777" w:rsidR="00064290" w:rsidRDefault="00261736">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SUBMITTED VIA REGULATIONS.GOV</w:t>
      </w:r>
    </w:p>
    <w:p w14:paraId="00000004" w14:textId="77777777" w:rsidR="00064290" w:rsidRDefault="00261736">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00000005" w14:textId="77777777" w:rsidR="00064290" w:rsidRDefault="00261736">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00000006"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 of the General Counsel</w:t>
      </w:r>
    </w:p>
    <w:p w14:paraId="00000007"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Rules Docket Clerk</w:t>
      </w:r>
    </w:p>
    <w:p w14:paraId="00000008"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Housing and Urban Development</w:t>
      </w:r>
    </w:p>
    <w:p w14:paraId="00000009"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451 Seventh Street SW, Room 10276</w:t>
      </w:r>
    </w:p>
    <w:p w14:paraId="0000000A"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20410-0001</w:t>
      </w:r>
    </w:p>
    <w:p w14:paraId="0000000B"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C" w14:textId="77777777" w:rsidR="00064290" w:rsidRDefault="00261736">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Reconsideration of HUD's Implementation of the Fair Housing Act's   Disparate Impact Standard, Docket No. FR-6111-P-02</w:t>
      </w:r>
    </w:p>
    <w:p w14:paraId="0000000D"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E"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F"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Dear Sir or Madam,</w:t>
      </w:r>
    </w:p>
    <w:p w14:paraId="00000010"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1"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I write to you on behalf of [</w:t>
      </w:r>
      <w:r>
        <w:rPr>
          <w:rFonts w:ascii="Times New Roman" w:eastAsia="Times New Roman" w:hAnsi="Times New Roman" w:cs="Times New Roman"/>
          <w:sz w:val="24"/>
          <w:szCs w:val="24"/>
          <w:highlight w:val="yellow"/>
        </w:rPr>
        <w:t>YOUR ORGANIZATION’S NAME HERE</w:t>
      </w:r>
      <w:r>
        <w:rPr>
          <w:rFonts w:ascii="Times New Roman" w:eastAsia="Times New Roman" w:hAnsi="Times New Roman" w:cs="Times New Roman"/>
          <w:sz w:val="24"/>
          <w:szCs w:val="24"/>
        </w:rPr>
        <w:t xml:space="preserve">] to offer comments in response to the above-docketed </w:t>
      </w:r>
      <w:r>
        <w:rPr>
          <w:rFonts w:ascii="Times New Roman" w:eastAsia="Times New Roman" w:hAnsi="Times New Roman" w:cs="Times New Roman"/>
          <w:sz w:val="24"/>
          <w:szCs w:val="24"/>
        </w:rPr>
        <w:t>notice (“Notice”) concerning proposed changes to the disparate impact standard as interpreted by the U.S. Department of Housing and Urban Development (“HUD”).  The existing Disparate Impact Rule serves the American public by providing an incentive for muni</w:t>
      </w:r>
      <w:r>
        <w:rPr>
          <w:rFonts w:ascii="Times New Roman" w:eastAsia="Times New Roman" w:hAnsi="Times New Roman" w:cs="Times New Roman"/>
          <w:sz w:val="24"/>
          <w:szCs w:val="24"/>
        </w:rPr>
        <w:t>cipalities, large corporations, and others to modify policies that wrongly and unnecessarily keep people from the opportunities they need to be successful in life. We strongly oppose any changes to HUD’s current Disparate Impact Rule.</w:t>
      </w:r>
    </w:p>
    <w:p w14:paraId="00000012"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State your organiz</w:t>
      </w:r>
      <w:r>
        <w:rPr>
          <w:rFonts w:ascii="Times New Roman" w:eastAsia="Times New Roman" w:hAnsi="Times New Roman" w:cs="Times New Roman"/>
          <w:sz w:val="24"/>
          <w:szCs w:val="24"/>
          <w:highlight w:val="yellow"/>
        </w:rPr>
        <w:t>ation’s mission statement.  Please summarize your organization’s program areas and major accomplishments here.</w:t>
      </w:r>
      <w:r>
        <w:rPr>
          <w:rFonts w:ascii="Times New Roman" w:eastAsia="Times New Roman" w:hAnsi="Times New Roman" w:cs="Times New Roman"/>
          <w:sz w:val="24"/>
          <w:szCs w:val="24"/>
        </w:rPr>
        <w:t xml:space="preserve">] </w:t>
      </w:r>
    </w:p>
    <w:p w14:paraId="00000014"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As a nation, we have a shared interest in ensuring that housing opportunities are available to every individual, regardless of their personal</w:t>
      </w:r>
      <w:r>
        <w:rPr>
          <w:rFonts w:ascii="Times New Roman" w:eastAsia="Times New Roman" w:hAnsi="Times New Roman" w:cs="Times New Roman"/>
          <w:sz w:val="24"/>
          <w:szCs w:val="24"/>
        </w:rPr>
        <w:t xml:space="preserve"> characteristics.  The Fair Housing Act prohibits intentional discriminatory acts </w:t>
      </w:r>
      <w:r>
        <w:rPr>
          <w:rFonts w:ascii="Times New Roman" w:eastAsia="Times New Roman" w:hAnsi="Times New Roman" w:cs="Times New Roman"/>
          <w:i/>
          <w:sz w:val="24"/>
          <w:szCs w:val="24"/>
        </w:rPr>
        <w:t>and</w:t>
      </w:r>
      <w:r>
        <w:rPr>
          <w:rFonts w:ascii="Times New Roman" w:eastAsia="Times New Roman" w:hAnsi="Times New Roman" w:cs="Times New Roman"/>
          <w:sz w:val="24"/>
          <w:szCs w:val="24"/>
        </w:rPr>
        <w:t xml:space="preserve"> facially “neutral” policies that limit housing opportunities based on race, color, national origin, religion, sex, the presence of families with children, and people with disabilities.  Fully realizing the promises of the Fair Housing Act for every person</w:t>
      </w:r>
      <w:r>
        <w:rPr>
          <w:rFonts w:ascii="Times New Roman" w:eastAsia="Times New Roman" w:hAnsi="Times New Roman" w:cs="Times New Roman"/>
          <w:sz w:val="24"/>
          <w:szCs w:val="24"/>
        </w:rPr>
        <w:t xml:space="preserve"> in the United States is central to HUD’s mission. </w:t>
      </w:r>
    </w:p>
    <w:p w14:paraId="00000016"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77777777" w:rsidR="00064290" w:rsidRDefault="00261736">
      <w:p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The [</w:t>
      </w:r>
      <w:r>
        <w:rPr>
          <w:rFonts w:ascii="Times New Roman" w:eastAsia="Times New Roman" w:hAnsi="Times New Roman" w:cs="Times New Roman"/>
          <w:sz w:val="24"/>
          <w:szCs w:val="24"/>
          <w:highlight w:val="yellow"/>
        </w:rPr>
        <w:t>YOUR ORGANIZATION HERE</w:t>
      </w:r>
      <w:r>
        <w:rPr>
          <w:rFonts w:ascii="Times New Roman" w:eastAsia="Times New Roman" w:hAnsi="Times New Roman" w:cs="Times New Roman"/>
          <w:sz w:val="24"/>
          <w:szCs w:val="24"/>
        </w:rPr>
        <w:t>] shares this central mission and we write to urge you not to revise HUD’s existing Disparate Impact Rule.  HUD’s new proposed rule would risk the department’s failing to meet</w:t>
      </w:r>
      <w:r>
        <w:rPr>
          <w:rFonts w:ascii="Times New Roman" w:eastAsia="Times New Roman" w:hAnsi="Times New Roman" w:cs="Times New Roman"/>
          <w:sz w:val="24"/>
          <w:szCs w:val="24"/>
        </w:rPr>
        <w:t xml:space="preserve"> its critical obligation to achieve the Fair Housing Act’s “central purpose . . . to eradicate discriminatory practices within a sector of our Nation’s economy.”[1] HUD’s current Disparate Impact Rule is a necessary tool in the ongoing effort to achieve op</w:t>
      </w:r>
      <w:r>
        <w:rPr>
          <w:rFonts w:ascii="Times New Roman" w:eastAsia="Times New Roman" w:hAnsi="Times New Roman" w:cs="Times New Roman"/>
          <w:sz w:val="24"/>
          <w:szCs w:val="24"/>
        </w:rPr>
        <w:t xml:space="preserve">en </w:t>
      </w:r>
      <w:r>
        <w:rPr>
          <w:rFonts w:ascii="Times New Roman" w:eastAsia="Times New Roman" w:hAnsi="Times New Roman" w:cs="Times New Roman"/>
          <w:sz w:val="24"/>
          <w:szCs w:val="24"/>
        </w:rPr>
        <w:lastRenderedPageBreak/>
        <w:t>housing markets, free of discrimination, and to eliminate all forms of housing discrimination and illegal segregation</w:t>
      </w:r>
      <w:r>
        <w:rPr>
          <w:rFonts w:ascii="Times New Roman" w:eastAsia="Times New Roman" w:hAnsi="Times New Roman" w:cs="Times New Roman"/>
          <w:color w:val="222222"/>
          <w:sz w:val="24"/>
          <w:szCs w:val="24"/>
          <w:highlight w:val="white"/>
        </w:rPr>
        <w:t xml:space="preserve">. </w:t>
      </w:r>
    </w:p>
    <w:p w14:paraId="00000018" w14:textId="77777777" w:rsidR="00064290" w:rsidRDefault="00261736">
      <w:p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 </w:t>
      </w:r>
    </w:p>
    <w:p w14:paraId="00000019" w14:textId="77777777" w:rsidR="00064290" w:rsidRDefault="00261736">
      <w:pPr>
        <w:rPr>
          <w:rFonts w:ascii="Times New Roman" w:eastAsia="Times New Roman" w:hAnsi="Times New Roman" w:cs="Times New Roman"/>
          <w:color w:val="222222"/>
          <w:sz w:val="24"/>
          <w:szCs w:val="24"/>
          <w:highlight w:val="yellow"/>
        </w:rPr>
      </w:pPr>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highlight w:val="yellow"/>
        </w:rPr>
        <w:t xml:space="preserve">In your own words, insert examples here of protections that disparate impact liability has provided to housing consumers that you </w:t>
      </w:r>
      <w:r>
        <w:rPr>
          <w:rFonts w:ascii="Times New Roman" w:eastAsia="Times New Roman" w:hAnsi="Times New Roman" w:cs="Times New Roman"/>
          <w:color w:val="222222"/>
          <w:sz w:val="24"/>
          <w:szCs w:val="24"/>
          <w:highlight w:val="yellow"/>
        </w:rPr>
        <w:t>may be familiar with, such as the following examples:</w:t>
      </w:r>
    </w:p>
    <w:p w14:paraId="0000001A" w14:textId="77777777" w:rsidR="00064290" w:rsidRDefault="00261736">
      <w:pPr>
        <w:rPr>
          <w:rFonts w:ascii="Times New Roman" w:eastAsia="Times New Roman" w:hAnsi="Times New Roman" w:cs="Times New Roman"/>
          <w:color w:val="222222"/>
          <w:sz w:val="24"/>
          <w:szCs w:val="24"/>
          <w:highlight w:val="yellow"/>
        </w:rPr>
      </w:pPr>
      <w:r>
        <w:rPr>
          <w:rFonts w:ascii="Times New Roman" w:eastAsia="Times New Roman" w:hAnsi="Times New Roman" w:cs="Times New Roman"/>
          <w:color w:val="222222"/>
          <w:sz w:val="24"/>
          <w:szCs w:val="24"/>
          <w:highlight w:val="yellow"/>
        </w:rPr>
        <w:t xml:space="preserve"> </w:t>
      </w:r>
    </w:p>
    <w:p w14:paraId="0000001B" w14:textId="77777777" w:rsidR="00064290" w:rsidRDefault="00261736">
      <w:pPr>
        <w:ind w:left="720"/>
        <w:rPr>
          <w:rFonts w:ascii="Times New Roman" w:eastAsia="Times New Roman" w:hAnsi="Times New Roman" w:cs="Times New Roman"/>
          <w:color w:val="222222"/>
          <w:sz w:val="24"/>
          <w:szCs w:val="24"/>
          <w:highlight w:val="yellow"/>
        </w:rPr>
      </w:pPr>
      <w:r>
        <w:rPr>
          <w:color w:val="222222"/>
          <w:sz w:val="24"/>
          <w:szCs w:val="24"/>
          <w:highlight w:val="yellow"/>
        </w:rPr>
        <w:t>·</w:t>
      </w:r>
      <w:r>
        <w:rPr>
          <w:rFonts w:ascii="Times New Roman" w:eastAsia="Times New Roman" w:hAnsi="Times New Roman" w:cs="Times New Roman"/>
          <w:color w:val="222222"/>
          <w:sz w:val="14"/>
          <w:szCs w:val="14"/>
          <w:highlight w:val="yellow"/>
        </w:rPr>
        <w:t xml:space="preserve">      </w:t>
      </w:r>
      <w:r>
        <w:rPr>
          <w:rFonts w:ascii="Times New Roman" w:eastAsia="Times New Roman" w:hAnsi="Times New Roman" w:cs="Times New Roman"/>
          <w:color w:val="222222"/>
          <w:sz w:val="24"/>
          <w:szCs w:val="24"/>
          <w:highlight w:val="yellow"/>
        </w:rPr>
        <w:t xml:space="preserve">It has provided protection for families with children who would be excluded from housing they can afford by policies allowing only one person per bedroom in a housing unit. </w:t>
      </w:r>
    </w:p>
    <w:p w14:paraId="0000001C" w14:textId="77777777" w:rsidR="00064290" w:rsidRDefault="00261736">
      <w:pPr>
        <w:ind w:left="720"/>
        <w:rPr>
          <w:rFonts w:ascii="Times New Roman" w:eastAsia="Times New Roman" w:hAnsi="Times New Roman" w:cs="Times New Roman"/>
          <w:color w:val="222222"/>
          <w:sz w:val="24"/>
          <w:szCs w:val="24"/>
          <w:highlight w:val="yellow"/>
        </w:rPr>
      </w:pPr>
      <w:r>
        <w:rPr>
          <w:color w:val="222222"/>
          <w:sz w:val="24"/>
          <w:szCs w:val="24"/>
          <w:highlight w:val="yellow"/>
        </w:rPr>
        <w:t>·</w:t>
      </w:r>
      <w:r>
        <w:rPr>
          <w:rFonts w:ascii="Times New Roman" w:eastAsia="Times New Roman" w:hAnsi="Times New Roman" w:cs="Times New Roman"/>
          <w:color w:val="222222"/>
          <w:sz w:val="14"/>
          <w:szCs w:val="14"/>
          <w:highlight w:val="yellow"/>
        </w:rPr>
        <w:t xml:space="preserve">      </w:t>
      </w:r>
      <w:r>
        <w:rPr>
          <w:rFonts w:ascii="Times New Roman" w:eastAsia="Times New Roman" w:hAnsi="Times New Roman" w:cs="Times New Roman"/>
          <w:color w:val="222222"/>
          <w:sz w:val="24"/>
          <w:szCs w:val="24"/>
          <w:highlight w:val="yellow"/>
        </w:rPr>
        <w:t>It has provi</w:t>
      </w:r>
      <w:r>
        <w:rPr>
          <w:rFonts w:ascii="Times New Roman" w:eastAsia="Times New Roman" w:hAnsi="Times New Roman" w:cs="Times New Roman"/>
          <w:color w:val="222222"/>
          <w:sz w:val="24"/>
          <w:szCs w:val="24"/>
          <w:highlight w:val="yellow"/>
        </w:rPr>
        <w:t>ded protection for victims of domestic abuse who faced eviction under policies that would penalize them for the violence they experienced or seeking police aid.</w:t>
      </w:r>
    </w:p>
    <w:p w14:paraId="0000001D" w14:textId="77777777" w:rsidR="00064290" w:rsidRDefault="00261736">
      <w:pPr>
        <w:ind w:left="720"/>
        <w:rPr>
          <w:rFonts w:ascii="Times New Roman" w:eastAsia="Times New Roman" w:hAnsi="Times New Roman" w:cs="Times New Roman"/>
          <w:color w:val="3C3A3A"/>
          <w:sz w:val="24"/>
          <w:szCs w:val="24"/>
        </w:rPr>
      </w:pPr>
      <w:r>
        <w:rPr>
          <w:color w:val="222222"/>
          <w:sz w:val="24"/>
          <w:szCs w:val="24"/>
          <w:highlight w:val="yellow"/>
        </w:rPr>
        <w:t>·</w:t>
      </w:r>
      <w:r>
        <w:rPr>
          <w:rFonts w:ascii="Times New Roman" w:eastAsia="Times New Roman" w:hAnsi="Times New Roman" w:cs="Times New Roman"/>
          <w:color w:val="222222"/>
          <w:sz w:val="14"/>
          <w:szCs w:val="14"/>
          <w:highlight w:val="yellow"/>
        </w:rPr>
        <w:t xml:space="preserve">      </w:t>
      </w:r>
      <w:r>
        <w:rPr>
          <w:rFonts w:ascii="Times New Roman" w:eastAsia="Times New Roman" w:hAnsi="Times New Roman" w:cs="Times New Roman"/>
          <w:color w:val="3C3A3A"/>
          <w:sz w:val="24"/>
          <w:szCs w:val="24"/>
          <w:highlight w:val="yellow"/>
        </w:rPr>
        <w:t xml:space="preserve">It has provided protection for home mortgage applicants when a bank charges unfair and excessive fees or rates to certain groups who seek loans, meaning people of color, women, or people with disabilities are forced to take on risky or costly loans or not </w:t>
      </w:r>
      <w:r>
        <w:rPr>
          <w:rFonts w:ascii="Times New Roman" w:eastAsia="Times New Roman" w:hAnsi="Times New Roman" w:cs="Times New Roman"/>
          <w:color w:val="3C3A3A"/>
          <w:sz w:val="24"/>
          <w:szCs w:val="24"/>
          <w:highlight w:val="yellow"/>
        </w:rPr>
        <w:t>have access to financing.</w:t>
      </w:r>
      <w:r>
        <w:rPr>
          <w:rFonts w:ascii="Times New Roman" w:eastAsia="Times New Roman" w:hAnsi="Times New Roman" w:cs="Times New Roman"/>
          <w:color w:val="3C3A3A"/>
          <w:sz w:val="24"/>
          <w:szCs w:val="24"/>
        </w:rPr>
        <w:t>]</w:t>
      </w:r>
    </w:p>
    <w:p w14:paraId="0000001E" w14:textId="77777777" w:rsidR="00064290" w:rsidRDefault="00261736">
      <w:p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 </w:t>
      </w:r>
    </w:p>
    <w:p w14:paraId="0000001F" w14:textId="77777777" w:rsidR="00064290" w:rsidRDefault="00261736">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 xml:space="preserve">In its current form, the Disparate Impact Rule has proven practical and effective. It is also comports with decades of established judicial precedent, including the 2015 Supreme Court decision, </w:t>
      </w:r>
      <w:r>
        <w:rPr>
          <w:rFonts w:ascii="Times New Roman" w:eastAsia="Times New Roman" w:hAnsi="Times New Roman" w:cs="Times New Roman"/>
          <w:i/>
          <w:color w:val="222222"/>
          <w:sz w:val="24"/>
          <w:szCs w:val="24"/>
          <w:highlight w:val="white"/>
        </w:rPr>
        <w:t>Texas Department of Housing and C</w:t>
      </w:r>
      <w:r>
        <w:rPr>
          <w:rFonts w:ascii="Times New Roman" w:eastAsia="Times New Roman" w:hAnsi="Times New Roman" w:cs="Times New Roman"/>
          <w:i/>
          <w:color w:val="222222"/>
          <w:sz w:val="24"/>
          <w:szCs w:val="24"/>
          <w:highlight w:val="white"/>
        </w:rPr>
        <w:t>ommunity Affairs v. Inclusive Communities Project</w:t>
      </w:r>
      <w:r>
        <w:rPr>
          <w:rFonts w:ascii="Times New Roman" w:eastAsia="Times New Roman" w:hAnsi="Times New Roman" w:cs="Times New Roman"/>
          <w:color w:val="222222"/>
          <w:sz w:val="24"/>
          <w:szCs w:val="24"/>
          <w:highlight w:val="white"/>
        </w:rPr>
        <w:t xml:space="preserve">, 135 S. Ct. 2507 (2015). In fact, </w:t>
      </w:r>
      <w:r>
        <w:rPr>
          <w:rFonts w:ascii="Times New Roman" w:eastAsia="Times New Roman" w:hAnsi="Times New Roman" w:cs="Times New Roman"/>
          <w:i/>
          <w:color w:val="222222"/>
          <w:sz w:val="24"/>
          <w:szCs w:val="24"/>
          <w:highlight w:val="white"/>
        </w:rPr>
        <w:t xml:space="preserve">Inclusive Communities </w:t>
      </w:r>
      <w:r>
        <w:rPr>
          <w:rFonts w:ascii="Times New Roman" w:eastAsia="Times New Roman" w:hAnsi="Times New Roman" w:cs="Times New Roman"/>
          <w:color w:val="222222"/>
          <w:sz w:val="24"/>
          <w:szCs w:val="24"/>
          <w:highlight w:val="white"/>
        </w:rPr>
        <w:t xml:space="preserve">quoted HUD’s existing rule at length without any suggestion that its opinion was in tension with that rule. </w:t>
      </w:r>
      <w:r>
        <w:rPr>
          <w:rFonts w:ascii="Times New Roman" w:eastAsia="Times New Roman" w:hAnsi="Times New Roman" w:cs="Times New Roman"/>
          <w:sz w:val="24"/>
          <w:szCs w:val="24"/>
        </w:rPr>
        <w:t xml:space="preserve">The central premise of </w:t>
      </w:r>
      <w:r>
        <w:rPr>
          <w:rFonts w:ascii="Times New Roman" w:eastAsia="Times New Roman" w:hAnsi="Times New Roman" w:cs="Times New Roman"/>
          <w:i/>
          <w:sz w:val="24"/>
          <w:szCs w:val="24"/>
        </w:rPr>
        <w:t>Inclusive Communiti</w:t>
      </w:r>
      <w:r>
        <w:rPr>
          <w:rFonts w:ascii="Times New Roman" w:eastAsia="Times New Roman" w:hAnsi="Times New Roman" w:cs="Times New Roman"/>
          <w:i/>
          <w:sz w:val="24"/>
          <w:szCs w:val="24"/>
        </w:rPr>
        <w:t xml:space="preserve">es </w:t>
      </w:r>
      <w:r>
        <w:rPr>
          <w:rFonts w:ascii="Times New Roman" w:eastAsia="Times New Roman" w:hAnsi="Times New Roman" w:cs="Times New Roman"/>
          <w:sz w:val="24"/>
          <w:szCs w:val="24"/>
        </w:rPr>
        <w:t>is that disparate impact claims are necessary to prohibit policies that may not be readily challenged under disparate treatment theories even though, particularly when overlaid on preexisting, long-standing disparities, they unnecessarily exclude minori</w:t>
      </w:r>
      <w:r>
        <w:rPr>
          <w:rFonts w:ascii="Times New Roman" w:eastAsia="Times New Roman" w:hAnsi="Times New Roman" w:cs="Times New Roman"/>
          <w:sz w:val="24"/>
          <w:szCs w:val="24"/>
        </w:rPr>
        <w:t>ties from housing. HUD’s proposal, however, would prevent disparate impact from performing this function by effectively limiting its application to classic disparate treatment cases.</w:t>
      </w:r>
    </w:p>
    <w:p w14:paraId="00000020" w14:textId="77777777" w:rsidR="00064290" w:rsidRDefault="00261736">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 xml:space="preserve">Accordingly, HUD’s existing rule should not be revised.  Instead, </w:t>
      </w:r>
      <w:r>
        <w:rPr>
          <w:rFonts w:ascii="Times New Roman" w:eastAsia="Times New Roman" w:hAnsi="Times New Roman" w:cs="Times New Roman"/>
          <w:sz w:val="24"/>
          <w:szCs w:val="24"/>
        </w:rPr>
        <w:t>HUD mus</w:t>
      </w:r>
      <w:r>
        <w:rPr>
          <w:rFonts w:ascii="Times New Roman" w:eastAsia="Times New Roman" w:hAnsi="Times New Roman" w:cs="Times New Roman"/>
          <w:sz w:val="24"/>
          <w:szCs w:val="24"/>
        </w:rPr>
        <w:t xml:space="preserve">t focus on vigorous enforcement of the Rule to remove unnecessary barriers to housing choice throughout our housing markets. </w:t>
      </w:r>
    </w:p>
    <w:p w14:paraId="00000021"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2" w14:textId="77777777" w:rsidR="00064290" w:rsidRDefault="002617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HUD’s Proposed Rule Would Destroy Disparate Impact Liability in the Housing Markets</w:t>
      </w:r>
    </w:p>
    <w:p w14:paraId="00000023" w14:textId="77777777" w:rsidR="00064290" w:rsidRDefault="002617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24"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HUD’s Proposed Rule would make drastic changes to fundamentally weaken this longstanding enforcement tool and would allow insurance companies, financial institutions, and other major corporations to engage in covert discriminatory practices with impunity. </w:t>
      </w:r>
      <w:r>
        <w:rPr>
          <w:rFonts w:ascii="Times New Roman" w:eastAsia="Times New Roman" w:hAnsi="Times New Roman" w:cs="Times New Roman"/>
          <w:sz w:val="24"/>
          <w:szCs w:val="24"/>
        </w:rPr>
        <w:t>The Proposed Rule would destroy disparate impact liability and eliminate the incentives for major corporations to continue doing their part to eliminate discrimination.  Accordingly, the Proposed Rule is directly contradictory to the Fair Housing Act and i</w:t>
      </w:r>
      <w:r>
        <w:rPr>
          <w:rFonts w:ascii="Times New Roman" w:eastAsia="Times New Roman" w:hAnsi="Times New Roman" w:cs="Times New Roman"/>
          <w:sz w:val="24"/>
          <w:szCs w:val="24"/>
        </w:rPr>
        <w:t xml:space="preserve">ts basic purposes. </w:t>
      </w:r>
      <w:r>
        <w:rPr>
          <w:rFonts w:ascii="Times New Roman" w:eastAsia="Times New Roman" w:hAnsi="Times New Roman" w:cs="Times New Roman"/>
          <w:sz w:val="24"/>
          <w:szCs w:val="24"/>
        </w:rPr>
        <w:tab/>
      </w:r>
    </w:p>
    <w:p w14:paraId="00000025"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6"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Proposed Rule includes deeply flawed changes that shift the burden of proof and inserts inordinately high barriers that would make it virtually impossible to bring the bedrock and heartland housing discrimination cases that Justi</w:t>
      </w:r>
      <w:r>
        <w:rPr>
          <w:rFonts w:ascii="Times New Roman" w:eastAsia="Times New Roman" w:hAnsi="Times New Roman" w:cs="Times New Roman"/>
          <w:sz w:val="24"/>
          <w:szCs w:val="24"/>
        </w:rPr>
        <w:t>ce Kennedy expressly stated should be brought using disparate impact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2]</w:t>
      </w:r>
    </w:p>
    <w:p w14:paraId="00000027"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8" w14:textId="77777777" w:rsidR="00064290" w:rsidRDefault="00261736">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In your own words, describe some components of the Proposed Rule that your organization identifies as particularly problematic, such as the following:</w:t>
      </w:r>
    </w:p>
    <w:p w14:paraId="00000029" w14:textId="77777777" w:rsidR="00064290" w:rsidRDefault="00261736">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p w14:paraId="0000002A" w14:textId="77777777" w:rsidR="00064290" w:rsidRDefault="00261736">
      <w:pPr>
        <w:ind w:left="720"/>
        <w:rPr>
          <w:rFonts w:ascii="Times New Roman" w:eastAsia="Times New Roman" w:hAnsi="Times New Roman" w:cs="Times New Roman"/>
          <w:sz w:val="24"/>
          <w:szCs w:val="24"/>
          <w:highlight w:val="yellow"/>
        </w:rPr>
      </w:pPr>
      <w:r>
        <w:rPr>
          <w:sz w:val="24"/>
          <w:szCs w:val="24"/>
          <w:highlight w:val="yellow"/>
        </w:rPr>
        <w:t>·</w:t>
      </w:r>
      <w:r>
        <w:rPr>
          <w:rFonts w:ascii="Times New Roman" w:eastAsia="Times New Roman" w:hAnsi="Times New Roman" w:cs="Times New Roman"/>
          <w:sz w:val="14"/>
          <w:szCs w:val="14"/>
          <w:highlight w:val="yellow"/>
        </w:rPr>
        <w:t xml:space="preserve">      </w:t>
      </w:r>
      <w:r>
        <w:rPr>
          <w:rFonts w:ascii="Times New Roman" w:eastAsia="Times New Roman" w:hAnsi="Times New Roman" w:cs="Times New Roman"/>
          <w:sz w:val="24"/>
          <w:szCs w:val="24"/>
          <w:highlight w:val="yellow"/>
        </w:rPr>
        <w:t>Victims of discrimin</w:t>
      </w:r>
      <w:r>
        <w:rPr>
          <w:rFonts w:ascii="Times New Roman" w:eastAsia="Times New Roman" w:hAnsi="Times New Roman" w:cs="Times New Roman"/>
          <w:sz w:val="24"/>
          <w:szCs w:val="24"/>
          <w:highlight w:val="yellow"/>
        </w:rPr>
        <w:t>ation will face a drastically higher burden to prove a disparate impact claim under the Fair Housing Act, making it virtually impossible to succeed.  Specifically, victims are asked to read the Defendant’s mind, trying to guess which justifications they mi</w:t>
      </w:r>
      <w:r>
        <w:rPr>
          <w:rFonts w:ascii="Times New Roman" w:eastAsia="Times New Roman" w:hAnsi="Times New Roman" w:cs="Times New Roman"/>
          <w:sz w:val="24"/>
          <w:szCs w:val="24"/>
          <w:highlight w:val="yellow"/>
        </w:rPr>
        <w:t xml:space="preserve">ght invoke and preemptively debunk them. </w:t>
      </w:r>
    </w:p>
    <w:p w14:paraId="0000002B" w14:textId="77777777" w:rsidR="00064290" w:rsidRDefault="00261736">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p w14:paraId="0000002C" w14:textId="77777777" w:rsidR="00064290" w:rsidRDefault="00261736">
      <w:pPr>
        <w:ind w:left="720"/>
        <w:rPr>
          <w:rFonts w:ascii="Times New Roman" w:eastAsia="Times New Roman" w:hAnsi="Times New Roman" w:cs="Times New Roman"/>
          <w:sz w:val="24"/>
          <w:szCs w:val="24"/>
          <w:highlight w:val="yellow"/>
        </w:rPr>
      </w:pPr>
      <w:r>
        <w:rPr>
          <w:sz w:val="24"/>
          <w:szCs w:val="24"/>
          <w:highlight w:val="yellow"/>
        </w:rPr>
        <w:t>·</w:t>
      </w:r>
      <w:r>
        <w:rPr>
          <w:rFonts w:ascii="Times New Roman" w:eastAsia="Times New Roman" w:hAnsi="Times New Roman" w:cs="Times New Roman"/>
          <w:sz w:val="14"/>
          <w:szCs w:val="14"/>
          <w:highlight w:val="yellow"/>
        </w:rPr>
        <w:t xml:space="preserve">      </w:t>
      </w:r>
      <w:r>
        <w:rPr>
          <w:rFonts w:ascii="Times New Roman" w:eastAsia="Times New Roman" w:hAnsi="Times New Roman" w:cs="Times New Roman"/>
          <w:sz w:val="24"/>
          <w:szCs w:val="24"/>
          <w:highlight w:val="yellow"/>
        </w:rPr>
        <w:t xml:space="preserve">A rule or policy that produces a profit will be immune from challenge for its discriminatory impact under the Proposed Rule unless there is an alternative approach that produces almost just as much money, </w:t>
      </w:r>
      <w:r>
        <w:rPr>
          <w:rFonts w:ascii="Times New Roman" w:eastAsia="Times New Roman" w:hAnsi="Times New Roman" w:cs="Times New Roman"/>
          <w:sz w:val="24"/>
          <w:szCs w:val="24"/>
          <w:highlight w:val="yellow"/>
        </w:rPr>
        <w:t xml:space="preserve">even if the business could use alternate business approaches that are less discriminatory while still being significantly profitable.   </w:t>
      </w:r>
      <w:r>
        <w:rPr>
          <w:rFonts w:ascii="Times New Roman" w:eastAsia="Times New Roman" w:hAnsi="Times New Roman" w:cs="Times New Roman"/>
          <w:sz w:val="24"/>
          <w:szCs w:val="24"/>
          <w:highlight w:val="yellow"/>
        </w:rPr>
        <w:tab/>
      </w:r>
    </w:p>
    <w:p w14:paraId="0000002D" w14:textId="77777777" w:rsidR="00064290" w:rsidRDefault="00261736">
      <w:pPr>
        <w:ind w:left="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p w14:paraId="0000002E" w14:textId="77777777" w:rsidR="00064290" w:rsidRDefault="00261736">
      <w:pPr>
        <w:ind w:left="720"/>
        <w:rPr>
          <w:rFonts w:ascii="Times New Roman" w:eastAsia="Times New Roman" w:hAnsi="Times New Roman" w:cs="Times New Roman"/>
          <w:sz w:val="24"/>
          <w:szCs w:val="24"/>
          <w:highlight w:val="yellow"/>
        </w:rPr>
      </w:pPr>
      <w:r>
        <w:rPr>
          <w:sz w:val="24"/>
          <w:szCs w:val="24"/>
          <w:highlight w:val="yellow"/>
        </w:rPr>
        <w:t>·</w:t>
      </w:r>
      <w:r>
        <w:rPr>
          <w:rFonts w:ascii="Times New Roman" w:eastAsia="Times New Roman" w:hAnsi="Times New Roman" w:cs="Times New Roman"/>
          <w:sz w:val="14"/>
          <w:szCs w:val="14"/>
          <w:highlight w:val="yellow"/>
        </w:rPr>
        <w:t xml:space="preserve">      </w:t>
      </w:r>
      <w:r>
        <w:rPr>
          <w:rFonts w:ascii="Times New Roman" w:eastAsia="Times New Roman" w:hAnsi="Times New Roman" w:cs="Times New Roman"/>
          <w:sz w:val="24"/>
          <w:szCs w:val="24"/>
          <w:highlight w:val="yellow"/>
        </w:rPr>
        <w:t xml:space="preserve">A business practice that relies on statistics or algorithms and has some predictive value will almost always </w:t>
      </w:r>
      <w:r>
        <w:rPr>
          <w:rFonts w:ascii="Times New Roman" w:eastAsia="Times New Roman" w:hAnsi="Times New Roman" w:cs="Times New Roman"/>
          <w:sz w:val="24"/>
          <w:szCs w:val="24"/>
          <w:highlight w:val="yellow"/>
        </w:rPr>
        <w:t>be immune from liability, such that credit scoring, pricing, marketing, or underwriting models would be exempt from the Fair Housing Act, even if it is clear that they result in the discriminatory denial of access to housing and home loans.</w:t>
      </w:r>
    </w:p>
    <w:p w14:paraId="0000002F" w14:textId="77777777" w:rsidR="00064290" w:rsidRDefault="00261736">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p w14:paraId="00000030" w14:textId="77777777" w:rsidR="00064290" w:rsidRDefault="00261736">
      <w:pPr>
        <w:ind w:left="720"/>
        <w:rPr>
          <w:rFonts w:ascii="Times New Roman" w:eastAsia="Times New Roman" w:hAnsi="Times New Roman" w:cs="Times New Roman"/>
          <w:sz w:val="24"/>
          <w:szCs w:val="24"/>
        </w:rPr>
      </w:pPr>
      <w:r>
        <w:rPr>
          <w:sz w:val="24"/>
          <w:szCs w:val="24"/>
          <w:highlight w:val="yellow"/>
        </w:rPr>
        <w:t>·</w:t>
      </w:r>
      <w:r>
        <w:rPr>
          <w:rFonts w:ascii="Times New Roman" w:eastAsia="Times New Roman" w:hAnsi="Times New Roman" w:cs="Times New Roman"/>
          <w:sz w:val="14"/>
          <w:szCs w:val="14"/>
          <w:highlight w:val="yellow"/>
        </w:rPr>
        <w:t xml:space="preserve">      </w:t>
      </w:r>
      <w:r>
        <w:rPr>
          <w:rFonts w:ascii="Times New Roman" w:eastAsia="Times New Roman" w:hAnsi="Times New Roman" w:cs="Times New Roman"/>
          <w:sz w:val="24"/>
          <w:szCs w:val="24"/>
          <w:highlight w:val="yellow"/>
        </w:rPr>
        <w:t>Busine</w:t>
      </w:r>
      <w:r>
        <w:rPr>
          <w:rFonts w:ascii="Times New Roman" w:eastAsia="Times New Roman" w:hAnsi="Times New Roman" w:cs="Times New Roman"/>
          <w:sz w:val="24"/>
          <w:szCs w:val="24"/>
          <w:highlight w:val="yellow"/>
        </w:rPr>
        <w:t>sses will no longer be incentivized to collect important data that can reveal discrimination.</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 xml:space="preserve">This will mean that victims of discrimination will be unable to identify whether discrimination is happening behind their backs and lack the ability to challenge </w:t>
      </w:r>
      <w:r>
        <w:rPr>
          <w:rFonts w:ascii="Times New Roman" w:eastAsia="Times New Roman" w:hAnsi="Times New Roman" w:cs="Times New Roman"/>
          <w:sz w:val="24"/>
          <w:szCs w:val="24"/>
          <w:highlight w:val="yellow"/>
        </w:rPr>
        <w:t>it if they do detect discrimination.</w:t>
      </w:r>
      <w:r>
        <w:rPr>
          <w:rFonts w:ascii="Times New Roman" w:eastAsia="Times New Roman" w:hAnsi="Times New Roman" w:cs="Times New Roman"/>
          <w:sz w:val="24"/>
          <w:szCs w:val="24"/>
        </w:rPr>
        <w:t>]</w:t>
      </w:r>
    </w:p>
    <w:p w14:paraId="00000031" w14:textId="77777777" w:rsidR="00064290" w:rsidRDefault="00261736">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2"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Ultimately, the Proposed Rule contains a host of changes that, in practice, amount to insurmountable obstacles to proving what should be clear claims of housing discrimination.  These proposed changes would ultimatel</w:t>
      </w:r>
      <w:r>
        <w:rPr>
          <w:rFonts w:ascii="Times New Roman" w:eastAsia="Times New Roman" w:hAnsi="Times New Roman" w:cs="Times New Roman"/>
          <w:sz w:val="24"/>
          <w:szCs w:val="24"/>
        </w:rPr>
        <w:t>y result in an inoperable disparate impact standard of liability.  Moreover, the proposed changes dangerously move companies and housing providers away from the practice of seeking out less discriminatory alternatives to harmful policies and practices.  [</w:t>
      </w:r>
      <w:r>
        <w:rPr>
          <w:rFonts w:ascii="Times New Roman" w:eastAsia="Times New Roman" w:hAnsi="Times New Roman" w:cs="Times New Roman"/>
          <w:sz w:val="24"/>
          <w:szCs w:val="24"/>
          <w:highlight w:val="yellow"/>
        </w:rPr>
        <w:t>In your own words, describe here how the disparate impact standard is necessary to effectively challenge fundamental societal inequalities such as our nation’s gender wage gap, racial wealth gap, and growing homeownership gap.</w:t>
      </w:r>
      <w:r>
        <w:rPr>
          <w:rFonts w:ascii="Times New Roman" w:eastAsia="Times New Roman" w:hAnsi="Times New Roman" w:cs="Times New Roman"/>
          <w:sz w:val="24"/>
          <w:szCs w:val="24"/>
        </w:rPr>
        <w:t>]</w:t>
      </w:r>
    </w:p>
    <w:p w14:paraId="00000033"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4"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5" w14:textId="77777777" w:rsidR="00064290" w:rsidRDefault="002617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The Disparate Impact Rul</w:t>
      </w:r>
      <w:r>
        <w:rPr>
          <w:rFonts w:ascii="Times New Roman" w:eastAsia="Times New Roman" w:hAnsi="Times New Roman" w:cs="Times New Roman"/>
          <w:b/>
          <w:sz w:val="24"/>
          <w:szCs w:val="24"/>
        </w:rPr>
        <w:t>e is Critical to Ensuring Housing Is Free of Systemic Discrimination</w:t>
      </w:r>
    </w:p>
    <w:p w14:paraId="00000036"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7"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existing Disparate Impact Rule is critical to ensuring optimum compliance with the federal Fair Housing Act and providing victims of widespread discrimination with rightful recourse</w:t>
      </w:r>
      <w:r>
        <w:rPr>
          <w:rFonts w:ascii="Times New Roman" w:eastAsia="Times New Roman" w:hAnsi="Times New Roman" w:cs="Times New Roman"/>
          <w:sz w:val="24"/>
          <w:szCs w:val="24"/>
        </w:rPr>
        <w:t xml:space="preserve">. </w:t>
      </w:r>
    </w:p>
    <w:p w14:paraId="00000038"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9"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In [</w:t>
      </w:r>
      <w:r>
        <w:rPr>
          <w:rFonts w:ascii="Times New Roman" w:eastAsia="Times New Roman" w:hAnsi="Times New Roman" w:cs="Times New Roman"/>
          <w:sz w:val="24"/>
          <w:szCs w:val="24"/>
          <w:highlight w:val="yellow"/>
        </w:rPr>
        <w:t>your service area</w:t>
      </w:r>
      <w:r>
        <w:rPr>
          <w:rFonts w:ascii="Times New Roman" w:eastAsia="Times New Roman" w:hAnsi="Times New Roman" w:cs="Times New Roman"/>
          <w:sz w:val="24"/>
          <w:szCs w:val="24"/>
        </w:rPr>
        <w:t xml:space="preserve">], systemic discriminatory policies and practices limit housing opportunities and choices that the current Disparate Impact Rule can be useful in addressing. </w:t>
      </w:r>
    </w:p>
    <w:p w14:paraId="0000003A"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B"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Those include [</w:t>
      </w:r>
      <w:r>
        <w:rPr>
          <w:rFonts w:ascii="Times New Roman" w:eastAsia="Times New Roman" w:hAnsi="Times New Roman" w:cs="Times New Roman"/>
          <w:sz w:val="24"/>
          <w:szCs w:val="24"/>
          <w:highlight w:val="yellow"/>
        </w:rPr>
        <w:t>insert examples here from your jurisdiction or region of local systemic fair housing issues. This could include exclusionary zoning practices that limit affordable housing for people of color; nuisance abatement ordinances that discriminate against victims</w:t>
      </w:r>
      <w:r>
        <w:rPr>
          <w:rFonts w:ascii="Times New Roman" w:eastAsia="Times New Roman" w:hAnsi="Times New Roman" w:cs="Times New Roman"/>
          <w:sz w:val="24"/>
          <w:szCs w:val="24"/>
          <w:highlight w:val="yellow"/>
        </w:rPr>
        <w:t xml:space="preserve"> of domestic violence; a landlord’s refusal to rent to people using government housing vouchers; a lender’s use of financial qualifying techniques that disproportionately exclude racial minorities; an insurance company’s refusal to insure older, well-maint</w:t>
      </w:r>
      <w:r>
        <w:rPr>
          <w:rFonts w:ascii="Times New Roman" w:eastAsia="Times New Roman" w:hAnsi="Times New Roman" w:cs="Times New Roman"/>
          <w:sz w:val="24"/>
          <w:szCs w:val="24"/>
          <w:highlight w:val="yellow"/>
        </w:rPr>
        <w:t xml:space="preserve">ained homes; financial institutions adopting policies that result in the blight and deterioration of foreclosed homes in communities of color; a jurisdiction’s use of residency preferences that exclude people of color; or a lender that denies an applicant </w:t>
      </w:r>
      <w:r>
        <w:rPr>
          <w:rFonts w:ascii="Times New Roman" w:eastAsia="Times New Roman" w:hAnsi="Times New Roman" w:cs="Times New Roman"/>
          <w:sz w:val="24"/>
          <w:szCs w:val="24"/>
          <w:highlight w:val="yellow"/>
        </w:rPr>
        <w:t>because they cannot provide proof that their disability assistance will continue for years, when similar requirements are not made for other applicants showing future income.</w:t>
      </w:r>
      <w:r>
        <w:rPr>
          <w:rFonts w:ascii="Times New Roman" w:eastAsia="Times New Roman" w:hAnsi="Times New Roman" w:cs="Times New Roman"/>
          <w:sz w:val="24"/>
          <w:szCs w:val="24"/>
        </w:rPr>
        <w:t>]</w:t>
      </w:r>
    </w:p>
    <w:p w14:paraId="0000003C"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D"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discriminatory impact of these policies can and should be altered.  The fo</w:t>
      </w:r>
      <w:r>
        <w:rPr>
          <w:rFonts w:ascii="Times New Roman" w:eastAsia="Times New Roman" w:hAnsi="Times New Roman" w:cs="Times New Roman"/>
          <w:sz w:val="24"/>
          <w:szCs w:val="24"/>
        </w:rPr>
        <w:t>cus on less discriminatory alternatives encourages housing providers to adopt less restrictive practices while meeting their business needs, but the Proposed Rule would ultimately preserve discriminatory barriers to open housing markets by not allowing vic</w:t>
      </w:r>
      <w:r>
        <w:rPr>
          <w:rFonts w:ascii="Times New Roman" w:eastAsia="Times New Roman" w:hAnsi="Times New Roman" w:cs="Times New Roman"/>
          <w:sz w:val="24"/>
          <w:szCs w:val="24"/>
        </w:rPr>
        <w:t xml:space="preserve">tims to get past the burden of establishing that a policy has a discriminatory impact.  </w:t>
      </w:r>
    </w:p>
    <w:p w14:paraId="0000003E"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F"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0" w14:textId="77777777" w:rsidR="00064290" w:rsidRDefault="002617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41"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2"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Proposed Rule operates to destroy disparate impact liability.  It is in direct contradiction to HUD’s mission, decades of legal precedent and the </w:t>
      </w:r>
      <w:r>
        <w:rPr>
          <w:rFonts w:ascii="Times New Roman" w:eastAsia="Times New Roman" w:hAnsi="Times New Roman" w:cs="Times New Roman"/>
          <w:sz w:val="24"/>
          <w:szCs w:val="24"/>
        </w:rPr>
        <w:t xml:space="preserve">Supreme Court’s recent decision in </w:t>
      </w:r>
      <w:r>
        <w:rPr>
          <w:rFonts w:ascii="Times New Roman" w:eastAsia="Times New Roman" w:hAnsi="Times New Roman" w:cs="Times New Roman"/>
          <w:i/>
          <w:sz w:val="24"/>
          <w:szCs w:val="24"/>
        </w:rPr>
        <w:t>Inclusive Communities</w:t>
      </w:r>
      <w:r>
        <w:rPr>
          <w:rFonts w:ascii="Times New Roman" w:eastAsia="Times New Roman" w:hAnsi="Times New Roman" w:cs="Times New Roman"/>
          <w:sz w:val="24"/>
          <w:szCs w:val="24"/>
        </w:rPr>
        <w:t>.</w:t>
      </w:r>
    </w:p>
    <w:p w14:paraId="00000043"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4"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Before finalizing the current Disparate Impact Rule in 2013, HUD engaged in a thoughtful and thorough process, considering decades of federal court jurisprudence.  [</w:t>
      </w:r>
      <w:r>
        <w:rPr>
          <w:rFonts w:ascii="Times New Roman" w:eastAsia="Times New Roman" w:hAnsi="Times New Roman" w:cs="Times New Roman"/>
          <w:sz w:val="24"/>
          <w:szCs w:val="24"/>
          <w:highlight w:val="yellow"/>
        </w:rPr>
        <w:t>If applicable, please note that</w:t>
      </w:r>
      <w:r>
        <w:rPr>
          <w:rFonts w:ascii="Times New Roman" w:eastAsia="Times New Roman" w:hAnsi="Times New Roman" w:cs="Times New Roman"/>
          <w:sz w:val="24"/>
          <w:szCs w:val="24"/>
          <w:highlight w:val="yellow"/>
        </w:rPr>
        <w:t xml:space="preserve"> your organization submitted comments in the prior comment period which argued XYZ.</w:t>
      </w:r>
      <w:r>
        <w:rPr>
          <w:rFonts w:ascii="Times New Roman" w:eastAsia="Times New Roman" w:hAnsi="Times New Roman" w:cs="Times New Roman"/>
          <w:sz w:val="24"/>
          <w:szCs w:val="24"/>
        </w:rPr>
        <w:t>]  In 2016, HUD considered additional federal court jurisprudence when it issued its well-reasoned supplement to insurance industry comments.  HUD should not change the curr</w:t>
      </w:r>
      <w:r>
        <w:rPr>
          <w:rFonts w:ascii="Times New Roman" w:eastAsia="Times New Roman" w:hAnsi="Times New Roman" w:cs="Times New Roman"/>
          <w:sz w:val="24"/>
          <w:szCs w:val="24"/>
        </w:rPr>
        <w:t xml:space="preserve">ent Disparate Impact Rule. </w:t>
      </w:r>
    </w:p>
    <w:p w14:paraId="00000045" w14:textId="77777777" w:rsidR="00064290" w:rsidRDefault="00261736">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00000046" w14:textId="77777777" w:rsidR="00064290" w:rsidRDefault="0026173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the opportunity to comment.  Please contact [</w:t>
      </w:r>
      <w:r>
        <w:rPr>
          <w:rFonts w:ascii="Times New Roman" w:eastAsia="Times New Roman" w:hAnsi="Times New Roman" w:cs="Times New Roman"/>
          <w:sz w:val="24"/>
          <w:szCs w:val="24"/>
          <w:highlight w:val="yellow"/>
        </w:rPr>
        <w:t>insert contact name and information</w:t>
      </w:r>
      <w:r>
        <w:rPr>
          <w:rFonts w:ascii="Times New Roman" w:eastAsia="Times New Roman" w:hAnsi="Times New Roman" w:cs="Times New Roman"/>
          <w:sz w:val="24"/>
          <w:szCs w:val="24"/>
        </w:rPr>
        <w:t xml:space="preserve">] regarding these comments. </w:t>
      </w:r>
    </w:p>
    <w:p w14:paraId="00000047" w14:textId="77777777" w:rsidR="00064290" w:rsidRDefault="0026173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8" w14:textId="77777777" w:rsidR="00064290" w:rsidRDefault="0026173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14:paraId="00000049" w14:textId="77777777" w:rsidR="00064290" w:rsidRDefault="00261736">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[Name]</w:t>
      </w:r>
    </w:p>
    <w:p w14:paraId="0000004A" w14:textId="77777777" w:rsidR="00064290" w:rsidRDefault="00261736">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[Title]</w:t>
      </w:r>
    </w:p>
    <w:p w14:paraId="0000004B" w14:textId="77777777" w:rsidR="00064290" w:rsidRDefault="00261736">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[Organization]</w:t>
      </w:r>
    </w:p>
    <w:p w14:paraId="0000004C" w14:textId="77777777" w:rsidR="00064290" w:rsidRDefault="00064290"/>
    <w:p w14:paraId="0000004D" w14:textId="77777777" w:rsidR="00064290" w:rsidRDefault="00261736">
      <w:r>
        <w:pict w14:anchorId="1780D695">
          <v:rect id="_x0000_i1025" style="width:0;height:1.5pt" o:hralign="center" o:hrstd="t" o:hr="t" fillcolor="#a0a0a0" stroked="f"/>
        </w:pict>
      </w:r>
    </w:p>
    <w:p w14:paraId="0000004E" w14:textId="77777777" w:rsidR="00064290" w:rsidRDefault="00261736">
      <w:pPr>
        <w:rPr>
          <w:rFonts w:ascii="Times New Roman" w:eastAsia="Times New Roman" w:hAnsi="Times New Roman" w:cs="Times New Roman"/>
        </w:rPr>
      </w:pPr>
      <w:r>
        <w:rPr>
          <w:sz w:val="20"/>
          <w:szCs w:val="20"/>
        </w:rPr>
        <w:t>[1]</w:t>
      </w:r>
      <w:r>
        <w:t xml:space="preserve"> </w:t>
      </w:r>
      <w:r>
        <w:rPr>
          <w:i/>
          <w:shd w:val="clear" w:color="auto" w:fill="FAFAFA"/>
        </w:rPr>
        <w:t xml:space="preserve">Texas Department of Housing and Community Affairs v. Inclusive Communities Project, Inc., </w:t>
      </w:r>
      <w:r>
        <w:rPr>
          <w:rFonts w:ascii="Times New Roman" w:eastAsia="Times New Roman" w:hAnsi="Times New Roman" w:cs="Times New Roman"/>
          <w:shd w:val="clear" w:color="auto" w:fill="FAFAFA"/>
        </w:rPr>
        <w:t>135 S. Ct. 2507</w:t>
      </w:r>
      <w:proofErr w:type="gramStart"/>
      <w:r>
        <w:rPr>
          <w:rFonts w:ascii="Times New Roman" w:eastAsia="Times New Roman" w:hAnsi="Times New Roman" w:cs="Times New Roman"/>
          <w:shd w:val="clear" w:color="auto" w:fill="FAFAFA"/>
        </w:rPr>
        <w:t>,  2511</w:t>
      </w:r>
      <w:proofErr w:type="gramEnd"/>
      <w:r>
        <w:rPr>
          <w:rFonts w:ascii="Times New Roman" w:eastAsia="Times New Roman" w:hAnsi="Times New Roman" w:cs="Times New Roman"/>
          <w:shd w:val="clear" w:color="auto" w:fill="FAFAFA"/>
        </w:rPr>
        <w:t xml:space="preserve"> (2015), available at:</w:t>
      </w:r>
      <w:hyperlink r:id="rId4">
        <w:r>
          <w:rPr>
            <w:rFonts w:ascii="Times New Roman" w:eastAsia="Times New Roman" w:hAnsi="Times New Roman" w:cs="Times New Roman"/>
            <w:shd w:val="clear" w:color="auto" w:fill="FAFAFA"/>
          </w:rPr>
          <w:t xml:space="preserve"> </w:t>
        </w:r>
      </w:hyperlink>
      <w:hyperlink r:id="rId5">
        <w:r>
          <w:rPr>
            <w:rFonts w:ascii="Times New Roman" w:eastAsia="Times New Roman" w:hAnsi="Times New Roman" w:cs="Times New Roman"/>
            <w:color w:val="1155CC"/>
            <w:u w:val="single"/>
          </w:rPr>
          <w:t>https://casetext.com/case/texas-dept-of-housing-and-community-affairs-v-inclusive-communities-project-inc</w:t>
        </w:r>
      </w:hyperlink>
      <w:r>
        <w:rPr>
          <w:rFonts w:ascii="Times New Roman" w:eastAsia="Times New Roman" w:hAnsi="Times New Roman" w:cs="Times New Roman"/>
        </w:rPr>
        <w:t>.</w:t>
      </w:r>
    </w:p>
    <w:p w14:paraId="0000004F" w14:textId="77777777" w:rsidR="00064290" w:rsidRDefault="00261736">
      <w:pPr>
        <w:rPr>
          <w:rFonts w:ascii="Times New Roman" w:eastAsia="Times New Roman" w:hAnsi="Times New Roman" w:cs="Times New Roman"/>
        </w:rPr>
      </w:pPr>
      <w:r>
        <w:rPr>
          <w:sz w:val="20"/>
          <w:szCs w:val="20"/>
        </w:rPr>
        <w:t>[2]</w:t>
      </w:r>
      <w:r>
        <w:t xml:space="preserve"> </w:t>
      </w:r>
      <w:r>
        <w:rPr>
          <w:i/>
          <w:shd w:val="clear" w:color="auto" w:fill="FAFAFA"/>
        </w:rPr>
        <w:t>Inclusive Commun</w:t>
      </w:r>
      <w:r>
        <w:rPr>
          <w:i/>
          <w:shd w:val="clear" w:color="auto" w:fill="FAFAFA"/>
        </w:rPr>
        <w:t xml:space="preserve">ities, </w:t>
      </w:r>
      <w:r>
        <w:rPr>
          <w:rFonts w:ascii="Times New Roman" w:eastAsia="Times New Roman" w:hAnsi="Times New Roman" w:cs="Times New Roman"/>
          <w:shd w:val="clear" w:color="auto" w:fill="FAFAFA"/>
        </w:rPr>
        <w:t>135 S. Ct. at 2522</w:t>
      </w:r>
      <w:r>
        <w:rPr>
          <w:rFonts w:ascii="Times New Roman" w:eastAsia="Times New Roman" w:hAnsi="Times New Roman" w:cs="Times New Roman"/>
        </w:rPr>
        <w:t>.</w:t>
      </w:r>
    </w:p>
    <w:p w14:paraId="00000050" w14:textId="77777777" w:rsidR="00064290" w:rsidRDefault="00064290"/>
    <w:sectPr w:rsidR="0006429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290"/>
    <w:rsid w:val="00064290"/>
    <w:rsid w:val="00261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D5D1E60-37D0-4BEE-9C59-EDE8FE4BC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asetext.com/case/texas-dept-of-housing-and-community-affairs-v-inclusive-communities-project-inc" TargetMode="External"/><Relationship Id="rId4" Type="http://schemas.openxmlformats.org/officeDocument/2006/relationships/hyperlink" Target="https://casetext.com/case/texas-dept-of-housing-and-community-affairs-v-inclusive-communities-project-i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1580</Words>
  <Characters>9007</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Gramlich</dc:creator>
  <cp:lastModifiedBy>Ed Gramlich</cp:lastModifiedBy>
  <cp:revision>2</cp:revision>
  <dcterms:created xsi:type="dcterms:W3CDTF">2019-10-01T20:04:00Z</dcterms:created>
  <dcterms:modified xsi:type="dcterms:W3CDTF">2019-10-01T20:04:00Z</dcterms:modified>
</cp:coreProperties>
</file>