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3D76CA" w:rsidRDefault="0039660E">
      <w:pPr>
        <w:rPr>
          <w:rFonts w:ascii="Times New Roman" w:eastAsia="Times New Roman" w:hAnsi="Times New Roman" w:cs="Times New Roman"/>
          <w:sz w:val="24"/>
          <w:szCs w:val="24"/>
          <w:highlight w:val="yellow"/>
        </w:rPr>
      </w:pPr>
      <w:bookmarkStart w:id="0" w:name="_GoBack"/>
      <w:bookmarkEnd w:id="0"/>
      <w:r>
        <w:rPr>
          <w:rFonts w:ascii="Times New Roman" w:eastAsia="Times New Roman" w:hAnsi="Times New Roman" w:cs="Times New Roman"/>
          <w:sz w:val="24"/>
          <w:szCs w:val="24"/>
          <w:highlight w:val="yellow"/>
        </w:rPr>
        <w:t xml:space="preserve"> </w:t>
      </w:r>
    </w:p>
    <w:p w14:paraId="00000002" w14:textId="77777777" w:rsidR="003D76CA" w:rsidRDefault="0039660E">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September [XX], 2019</w:t>
      </w:r>
    </w:p>
    <w:p w14:paraId="00000003"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4" w14:textId="77777777" w:rsidR="003D76CA" w:rsidRDefault="0039660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SUBMITTED VIA REGULATIONS.GOV</w:t>
      </w:r>
    </w:p>
    <w:p w14:paraId="00000005" w14:textId="77777777" w:rsidR="003D76CA" w:rsidRDefault="0039660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00000006"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 of the General Counsel</w:t>
      </w:r>
    </w:p>
    <w:p w14:paraId="00000007"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Rules Docket Clerk</w:t>
      </w:r>
    </w:p>
    <w:p w14:paraId="00000008"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Housing and Urban Development</w:t>
      </w:r>
    </w:p>
    <w:p w14:paraId="00000009"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451 Seventh Street SW, Room 10276</w:t>
      </w:r>
    </w:p>
    <w:p w14:paraId="0000000A"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20410-0001</w:t>
      </w:r>
    </w:p>
    <w:p w14:paraId="0000000B"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C" w14:textId="77777777" w:rsidR="003D76CA" w:rsidRDefault="0039660E">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Reconsideration of HUD's Implementation of the Fair Housing Act's   Disparate Impact Standard, Docket No. FR-6111-P-02</w:t>
      </w:r>
    </w:p>
    <w:p w14:paraId="0000000D"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E"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Dear Sir or Madam,</w:t>
      </w:r>
    </w:p>
    <w:p w14:paraId="0000000F" w14:textId="77777777" w:rsidR="003D76CA" w:rsidRDefault="0039660E">
      <w:r>
        <w:t xml:space="preserve"> </w:t>
      </w:r>
    </w:p>
    <w:p w14:paraId="00000010"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I write to you on behalf of [</w:t>
      </w:r>
      <w:r>
        <w:rPr>
          <w:rFonts w:ascii="Times New Roman" w:eastAsia="Times New Roman" w:hAnsi="Times New Roman" w:cs="Times New Roman"/>
          <w:sz w:val="24"/>
          <w:szCs w:val="24"/>
          <w:highlight w:val="yellow"/>
        </w:rPr>
        <w:t>INSERT ORGANIZATION]</w:t>
      </w:r>
      <w:r>
        <w:rPr>
          <w:rFonts w:ascii="Times New Roman" w:eastAsia="Times New Roman" w:hAnsi="Times New Roman" w:cs="Times New Roman"/>
          <w:sz w:val="24"/>
          <w:szCs w:val="24"/>
        </w:rPr>
        <w:t xml:space="preserve"> in response to the U.S. Department of Housing and Urban Developm</w:t>
      </w:r>
      <w:r>
        <w:rPr>
          <w:rFonts w:ascii="Times New Roman" w:eastAsia="Times New Roman" w:hAnsi="Times New Roman" w:cs="Times New Roman"/>
          <w:sz w:val="24"/>
          <w:szCs w:val="24"/>
        </w:rPr>
        <w:t>ent’s (“HUD”) proposed rule revising the disparate impact standard. We strongly oppose any changes to HUD’s current rule and we urge you to uphold HUD’s current interpretation of the disparate impact rule.</w:t>
      </w:r>
    </w:p>
    <w:p w14:paraId="00000011"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2"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 early 1970s, the “disparate impact” do</w:t>
      </w:r>
      <w:r>
        <w:rPr>
          <w:rFonts w:ascii="Times New Roman" w:eastAsia="Times New Roman" w:hAnsi="Times New Roman" w:cs="Times New Roman"/>
          <w:sz w:val="24"/>
          <w:szCs w:val="24"/>
        </w:rPr>
        <w:t>ctrine has constituted a core civil rights protection across civil rights subject areas, including but not limited to housing. It ensures that a policy or practice can be considered discriminatory when it has a disparate impact on members of a protected gr</w:t>
      </w:r>
      <w:r>
        <w:rPr>
          <w:rFonts w:ascii="Times New Roman" w:eastAsia="Times New Roman" w:hAnsi="Times New Roman" w:cs="Times New Roman"/>
          <w:sz w:val="24"/>
          <w:szCs w:val="24"/>
        </w:rPr>
        <w:t>oup, regardless of whether there is intent to discriminate.</w:t>
      </w:r>
    </w:p>
    <w:p w14:paraId="00000013"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4"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Disparate impact is a powerful tool for </w:t>
      </w:r>
      <w:r>
        <w:rPr>
          <w:rFonts w:ascii="Times New Roman" w:eastAsia="Times New Roman" w:hAnsi="Times New Roman" w:cs="Times New Roman"/>
          <w:sz w:val="24"/>
          <w:szCs w:val="24"/>
          <w:highlight w:val="white"/>
        </w:rPr>
        <w:t xml:space="preserve">challenging the structural inequalities that persist in our </w:t>
      </w:r>
      <w:proofErr w:type="gramStart"/>
      <w:r>
        <w:rPr>
          <w:rFonts w:ascii="Times New Roman" w:eastAsia="Times New Roman" w:hAnsi="Times New Roman" w:cs="Times New Roman"/>
          <w:sz w:val="24"/>
          <w:szCs w:val="24"/>
          <w:highlight w:val="white"/>
        </w:rPr>
        <w:t>neighborhoods</w:t>
      </w:r>
      <w:proofErr w:type="gramEnd"/>
      <w:r>
        <w:rPr>
          <w:rFonts w:ascii="Times New Roman" w:eastAsia="Times New Roman" w:hAnsi="Times New Roman" w:cs="Times New Roman"/>
          <w:sz w:val="24"/>
          <w:szCs w:val="24"/>
          <w:highlight w:val="white"/>
        </w:rPr>
        <w:t xml:space="preserve"> and communities and for uncovering forms of discrimination that are covert or un</w:t>
      </w:r>
      <w:r>
        <w:rPr>
          <w:rFonts w:ascii="Times New Roman" w:eastAsia="Times New Roman" w:hAnsi="Times New Roman" w:cs="Times New Roman"/>
          <w:sz w:val="24"/>
          <w:szCs w:val="24"/>
          <w:highlight w:val="white"/>
        </w:rPr>
        <w:t xml:space="preserve">intentional. </w:t>
      </w:r>
      <w:r>
        <w:rPr>
          <w:rFonts w:ascii="Times New Roman" w:eastAsia="Times New Roman" w:hAnsi="Times New Roman" w:cs="Times New Roman"/>
          <w:sz w:val="24"/>
          <w:szCs w:val="24"/>
        </w:rPr>
        <w:t>The Nixon administration first utilized disparate impact under the Fair Housing Act to ensure equal housing opportunity. Since that time, every circuit court addressing the issue upheld this method for proving discrimination. In 2013, HUD adopted the curre</w:t>
      </w:r>
      <w:r>
        <w:rPr>
          <w:rFonts w:ascii="Times New Roman" w:eastAsia="Times New Roman" w:hAnsi="Times New Roman" w:cs="Times New Roman"/>
          <w:sz w:val="24"/>
          <w:szCs w:val="24"/>
        </w:rPr>
        <w:t xml:space="preserve">nt version of the disparate impact standard, relying on decades of jurisprudence. </w:t>
      </w:r>
      <w:r>
        <w:rPr>
          <w:rFonts w:ascii="Times New Roman" w:eastAsia="Times New Roman" w:hAnsi="Times New Roman" w:cs="Times New Roman"/>
          <w:sz w:val="24"/>
          <w:szCs w:val="24"/>
          <w:highlight w:val="white"/>
        </w:rPr>
        <w:t>The</w:t>
      </w:r>
      <w:r>
        <w:rPr>
          <w:rFonts w:ascii="Times New Roman" w:eastAsia="Times New Roman" w:hAnsi="Times New Roman" w:cs="Times New Roman"/>
          <w:sz w:val="24"/>
          <w:szCs w:val="24"/>
        </w:rPr>
        <w:t xml:space="preserve"> Supreme Court acknowledged its value in </w:t>
      </w:r>
      <w:r>
        <w:rPr>
          <w:rFonts w:ascii="Times New Roman" w:eastAsia="Times New Roman" w:hAnsi="Times New Roman" w:cs="Times New Roman"/>
          <w:i/>
          <w:sz w:val="24"/>
          <w:szCs w:val="24"/>
        </w:rPr>
        <w:t>Texas Department of Housing &amp; Community Affairs v. Inclusive Communities Project</w:t>
      </w:r>
      <w:r>
        <w:rPr>
          <w:rFonts w:ascii="Times New Roman" w:eastAsia="Times New Roman" w:hAnsi="Times New Roman" w:cs="Times New Roman"/>
          <w:sz w:val="24"/>
          <w:szCs w:val="24"/>
        </w:rPr>
        <w:t>, 135 S. Ct. 2507 (2015), by stating, “Recognition</w:t>
      </w:r>
      <w:r>
        <w:rPr>
          <w:rFonts w:ascii="Times New Roman" w:eastAsia="Times New Roman" w:hAnsi="Times New Roman" w:cs="Times New Roman"/>
          <w:sz w:val="24"/>
          <w:szCs w:val="24"/>
        </w:rPr>
        <w:t xml:space="preserve"> of disparate impact claims is consistent with the Fair Housing act’s central purpose.” The current rule does not require revision.</w:t>
      </w:r>
    </w:p>
    <w:p w14:paraId="00000015"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6"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As advocates of equality and equity in transportation, we are extremely alarmed by HUD’s attempt to gut the disparate impa</w:t>
      </w:r>
      <w:r>
        <w:rPr>
          <w:rFonts w:ascii="Times New Roman" w:eastAsia="Times New Roman" w:hAnsi="Times New Roman" w:cs="Times New Roman"/>
          <w:sz w:val="24"/>
          <w:szCs w:val="24"/>
        </w:rPr>
        <w:t>ct standard under the Fair Housing Act. There is an inextricable link between housing segregation and transportation inequality. Discrimination in transportation decision-making has been rooted in residential segregation throughout this nation’s history. I</w:t>
      </w:r>
      <w:r>
        <w:rPr>
          <w:rFonts w:ascii="Times New Roman" w:eastAsia="Times New Roman" w:hAnsi="Times New Roman" w:cs="Times New Roman"/>
          <w:sz w:val="24"/>
          <w:szCs w:val="24"/>
        </w:rPr>
        <w:t xml:space="preserve">n </w:t>
      </w:r>
      <w:r>
        <w:rPr>
          <w:rFonts w:ascii="Times New Roman" w:eastAsia="Times New Roman" w:hAnsi="Times New Roman" w:cs="Times New Roman"/>
          <w:sz w:val="24"/>
          <w:szCs w:val="24"/>
        </w:rPr>
        <w:lastRenderedPageBreak/>
        <w:t>the 1950s and 1960s, federal, state and local officials relied on residential segregation to</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construct</w:t>
        </w:r>
      </w:hyperlink>
      <w:r>
        <w:rPr>
          <w:rFonts w:ascii="Times New Roman" w:eastAsia="Times New Roman" w:hAnsi="Times New Roman" w:cs="Times New Roman"/>
          <w:sz w:val="24"/>
          <w:szCs w:val="24"/>
        </w:rPr>
        <w:t xml:space="preserve"> freeways and highways that divided or destroyed communities of color and created artificial barriers to integrating schools and all facets of economic life. There are</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examples</w:t>
        </w:r>
      </w:hyperlink>
      <w:r>
        <w:rPr>
          <w:rFonts w:ascii="Times New Roman" w:eastAsia="Times New Roman" w:hAnsi="Times New Roman" w:cs="Times New Roman"/>
          <w:sz w:val="24"/>
          <w:szCs w:val="24"/>
        </w:rPr>
        <w:t xml:space="preserve"> all over the country of government officials using housing segregation to support transportation decisions which adversely impacted communities of color. </w:t>
      </w:r>
    </w:p>
    <w:p w14:paraId="00000017"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8"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Today’s tran</w:t>
      </w:r>
      <w:r>
        <w:rPr>
          <w:rFonts w:ascii="Times New Roman" w:eastAsia="Times New Roman" w:hAnsi="Times New Roman" w:cs="Times New Roman"/>
          <w:sz w:val="24"/>
          <w:szCs w:val="24"/>
        </w:rPr>
        <w:t>sportation decision-making is still often based upon the racial and economic composition of communities. Better transportation opportunities tend to follow white and affluent areas; diminished access to transportation tends to corresponds with low-income c</w:t>
      </w:r>
      <w:r>
        <w:rPr>
          <w:rFonts w:ascii="Times New Roman" w:eastAsia="Times New Roman" w:hAnsi="Times New Roman" w:cs="Times New Roman"/>
          <w:sz w:val="24"/>
          <w:szCs w:val="24"/>
        </w:rPr>
        <w:t>ommunities of color. There is no denying that regional, state, and local transportation decisions are still rooted in the racial composition of the areas at issue.  Eliminating the most effective tool to combat housing segregation will undoubtedly harm eff</w:t>
      </w:r>
      <w:r>
        <w:rPr>
          <w:rFonts w:ascii="Times New Roman" w:eastAsia="Times New Roman" w:hAnsi="Times New Roman" w:cs="Times New Roman"/>
          <w:sz w:val="24"/>
          <w:szCs w:val="24"/>
        </w:rPr>
        <w:t>orts to promote and achieve equity in transportation.</w:t>
      </w:r>
    </w:p>
    <w:p w14:paraId="00000019"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A"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Preserving a strong disparate impact standard is also important to the continued ability to challenge discrimination in transportation decision-making. Many cases addressing discrimination in transpor</w:t>
      </w:r>
      <w:r>
        <w:rPr>
          <w:rFonts w:ascii="Times New Roman" w:eastAsia="Times New Roman" w:hAnsi="Times New Roman" w:cs="Times New Roman"/>
          <w:sz w:val="24"/>
          <w:szCs w:val="24"/>
        </w:rPr>
        <w:t>tation under Title VI of the Civil Rights Act of 1964 rely on the disparate impact doctrine. For example, a Title VI</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complaint</w:t>
        </w:r>
      </w:hyperlink>
      <w:r>
        <w:rPr>
          <w:rFonts w:ascii="Times New Roman" w:eastAsia="Times New Roman" w:hAnsi="Times New Roman" w:cs="Times New Roman"/>
          <w:sz w:val="24"/>
          <w:szCs w:val="24"/>
        </w:rPr>
        <w:t xml:space="preserve"> filed with the U.S. Department of Transportation alleged that a proposed highway would disproportionately harm African-</w:t>
      </w:r>
      <w:r>
        <w:rPr>
          <w:rFonts w:ascii="Times New Roman" w:eastAsia="Times New Roman" w:hAnsi="Times New Roman" w:cs="Times New Roman"/>
          <w:sz w:val="24"/>
          <w:szCs w:val="24"/>
        </w:rPr>
        <w:t>American communities in Corpus Christi, Texas, which were already isolated by a ship channel, refineries and an interstate highway. The planned action by Texas would have further segregated the communities. Similarly, a</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complaint</w:t>
        </w:r>
      </w:hyperlink>
      <w:r>
        <w:rPr>
          <w:rFonts w:ascii="Times New Roman" w:eastAsia="Times New Roman" w:hAnsi="Times New Roman" w:cs="Times New Roman"/>
          <w:sz w:val="24"/>
          <w:szCs w:val="24"/>
        </w:rPr>
        <w:t xml:space="preserve"> filed with the Department of Transportation relied on Title VI’s disparate impact analysis to challenge Maryland’s decision to cance</w:t>
      </w:r>
      <w:r>
        <w:rPr>
          <w:rFonts w:ascii="Times New Roman" w:eastAsia="Times New Roman" w:hAnsi="Times New Roman" w:cs="Times New Roman"/>
          <w:sz w:val="24"/>
          <w:szCs w:val="24"/>
        </w:rPr>
        <w:t>l the Red Line light rail system, alleging that the cancellation would have had a disparate impact on African-American residents of Baltimore and the State of Maryland. Disparate impact is a critical tool for challenging transportation injustice. Advocates</w:t>
      </w:r>
      <w:r>
        <w:rPr>
          <w:rFonts w:ascii="Times New Roman" w:eastAsia="Times New Roman" w:hAnsi="Times New Roman" w:cs="Times New Roman"/>
          <w:sz w:val="24"/>
          <w:szCs w:val="24"/>
        </w:rPr>
        <w:t xml:space="preserve"> for transportation equity cannot afford to allow the disparate impact tool to be weakened in any civil rights area.   </w:t>
      </w:r>
    </w:p>
    <w:p w14:paraId="0000001B"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C"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INSERT ORGANIZATION</w:t>
      </w:r>
      <w:r>
        <w:rPr>
          <w:rFonts w:ascii="Times New Roman" w:eastAsia="Times New Roman" w:hAnsi="Times New Roman" w:cs="Times New Roman"/>
          <w:sz w:val="24"/>
          <w:szCs w:val="24"/>
        </w:rPr>
        <w:t>] believes in and is committed to eliminating discriminatory policies and practices, whether intentional or facial</w:t>
      </w:r>
      <w:r>
        <w:rPr>
          <w:rFonts w:ascii="Times New Roman" w:eastAsia="Times New Roman" w:hAnsi="Times New Roman" w:cs="Times New Roman"/>
          <w:sz w:val="24"/>
          <w:szCs w:val="24"/>
        </w:rPr>
        <w:t>ly neutral.  We urge you to uphold HUD’s current interpretation of the disparate impact rule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highlight w:val="yellow"/>
        </w:rPr>
        <w:t>[Insert a full description of your organization and why this is particularly urgent to you</w:t>
      </w:r>
      <w:r>
        <w:rPr>
          <w:rFonts w:ascii="Times New Roman" w:eastAsia="Times New Roman" w:hAnsi="Times New Roman" w:cs="Times New Roman"/>
          <w:sz w:val="24"/>
          <w:szCs w:val="24"/>
        </w:rPr>
        <w:t>]</w:t>
      </w:r>
    </w:p>
    <w:p w14:paraId="0000001D" w14:textId="77777777" w:rsidR="003D76CA" w:rsidRDefault="0039660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1E" w14:textId="77777777" w:rsidR="003D76CA" w:rsidRDefault="003966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changes proposed by HUD include provisions which would destroy the disparate impact standard as a mechanism of accountability. Specifically, the proposed rule would impose a drastically higher burden on victims of discrimination to prove a disparate im</w:t>
      </w:r>
      <w:r>
        <w:rPr>
          <w:rFonts w:ascii="Times New Roman" w:eastAsia="Times New Roman" w:hAnsi="Times New Roman" w:cs="Times New Roman"/>
          <w:sz w:val="24"/>
          <w:szCs w:val="24"/>
        </w:rPr>
        <w:t>pact claim under the Fair Housing Act, making it virtually impossible to succeed.  Under the proposed rule, policies or practices that produce a profit could be immune from challenge for their discriminatory impact.  Business practices that rely on statist</w:t>
      </w:r>
      <w:r>
        <w:rPr>
          <w:rFonts w:ascii="Times New Roman" w:eastAsia="Times New Roman" w:hAnsi="Times New Roman" w:cs="Times New Roman"/>
          <w:sz w:val="24"/>
          <w:szCs w:val="24"/>
        </w:rPr>
        <w:t>ics or algorithms will generally be exempt from liability.</w:t>
      </w:r>
    </w:p>
    <w:p w14:paraId="0000001F" w14:textId="77777777" w:rsidR="003D76CA" w:rsidRDefault="003966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0" w14:textId="77777777" w:rsidR="003D76CA" w:rsidRDefault="003966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Over the years, disparate impact liability has been a critical tool for protecting our communities under the Fair Housing Act and promoting integration and opportunity:</w:t>
      </w:r>
    </w:p>
    <w:p w14:paraId="00000021" w14:textId="77777777" w:rsidR="003D76CA" w:rsidRDefault="003966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2" w14:textId="77777777" w:rsidR="003D76CA" w:rsidRDefault="0039660E">
      <w:pPr>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In</w:t>
      </w:r>
      <w:proofErr w:type="gramEnd"/>
      <w:r>
        <w:rPr>
          <w:rFonts w:ascii="Times New Roman" w:eastAsia="Times New Roman" w:hAnsi="Times New Roman" w:cs="Times New Roman"/>
          <w:sz w:val="24"/>
          <w:szCs w:val="24"/>
        </w:rPr>
        <w:t xml:space="preserve"> California, dispar</w:t>
      </w:r>
      <w:r>
        <w:rPr>
          <w:rFonts w:ascii="Times New Roman" w:eastAsia="Times New Roman" w:hAnsi="Times New Roman" w:cs="Times New Roman"/>
          <w:sz w:val="24"/>
          <w:szCs w:val="24"/>
        </w:rPr>
        <w:t>ate impact was</w:t>
      </w:r>
      <w:hyperlink r:id="rId12">
        <w:r>
          <w:rPr>
            <w:rFonts w:ascii="Times New Roman" w:eastAsia="Times New Roman" w:hAnsi="Times New Roman" w:cs="Times New Roman"/>
            <w:sz w:val="24"/>
            <w:szCs w:val="24"/>
          </w:rPr>
          <w:t xml:space="preserve"> </w:t>
        </w:r>
      </w:hyperlink>
      <w:hyperlink r:id="rId13">
        <w:r>
          <w:rPr>
            <w:rFonts w:ascii="Times New Roman" w:eastAsia="Times New Roman" w:hAnsi="Times New Roman" w:cs="Times New Roman"/>
            <w:color w:val="1155CC"/>
            <w:sz w:val="24"/>
            <w:szCs w:val="24"/>
            <w:u w:val="single"/>
          </w:rPr>
          <w:t>invoked</w:t>
        </w:r>
      </w:hyperlink>
      <w:r>
        <w:rPr>
          <w:rFonts w:ascii="Times New Roman" w:eastAsia="Times New Roman" w:hAnsi="Times New Roman" w:cs="Times New Roman"/>
          <w:sz w:val="24"/>
          <w:szCs w:val="24"/>
        </w:rPr>
        <w:t xml:space="preserve"> to challenge a city’s refusal to approve construction of low-income housing which would have been occupied by people of color</w:t>
      </w:r>
      <w:r>
        <w:rPr>
          <w:rFonts w:ascii="Times New Roman" w:eastAsia="Times New Roman" w:hAnsi="Times New Roman" w:cs="Times New Roman"/>
          <w:sz w:val="24"/>
          <w:szCs w:val="24"/>
        </w:rPr>
        <w:t xml:space="preserve"> displaced by a freeway.</w:t>
      </w:r>
    </w:p>
    <w:p w14:paraId="00000023" w14:textId="77777777" w:rsidR="003D76CA" w:rsidRDefault="0039660E">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4" w14:textId="77777777" w:rsidR="003D76CA" w:rsidRDefault="0039660E">
      <w:pPr>
        <w:shd w:val="clear" w:color="auto" w:fill="FFFFFF"/>
        <w:ind w:left="720"/>
        <w:jc w:val="both"/>
        <w:rPr>
          <w:rFonts w:ascii="Times New Roman" w:eastAsia="Times New Roman" w:hAnsi="Times New Roman" w:cs="Times New Roman"/>
          <w:color w:val="222222"/>
          <w:sz w:val="24"/>
          <w:szCs w:val="24"/>
        </w:rPr>
      </w:pPr>
      <w:proofErr w:type="gramStart"/>
      <w:r>
        <w:rPr>
          <w:rFonts w:ascii="Times New Roman" w:eastAsia="Times New Roman" w:hAnsi="Times New Roman" w:cs="Times New Roman"/>
          <w:sz w:val="24"/>
          <w:szCs w:val="24"/>
        </w:rPr>
        <w:t>●  In</w:t>
      </w:r>
      <w:proofErr w:type="gramEnd"/>
      <w:r>
        <w:rPr>
          <w:rFonts w:ascii="Times New Roman" w:eastAsia="Times New Roman" w:hAnsi="Times New Roman" w:cs="Times New Roman"/>
          <w:sz w:val="24"/>
          <w:szCs w:val="24"/>
        </w:rPr>
        <w:t xml:space="preserve"> New York, disparate impact was used to</w:t>
      </w:r>
      <w:hyperlink r:id="rId14">
        <w:r>
          <w:rPr>
            <w:rFonts w:ascii="Times New Roman" w:eastAsia="Times New Roman" w:hAnsi="Times New Roman" w:cs="Times New Roman"/>
            <w:sz w:val="24"/>
            <w:szCs w:val="24"/>
          </w:rPr>
          <w:t xml:space="preserve"> </w:t>
        </w:r>
      </w:hyperlink>
      <w:hyperlink r:id="rId15">
        <w:r>
          <w:rPr>
            <w:rFonts w:ascii="Times New Roman" w:eastAsia="Times New Roman" w:hAnsi="Times New Roman" w:cs="Times New Roman"/>
            <w:color w:val="1155CC"/>
            <w:sz w:val="24"/>
            <w:szCs w:val="24"/>
            <w:u w:val="single"/>
          </w:rPr>
          <w:t>block</w:t>
        </w:r>
      </w:hyperlink>
      <w:r>
        <w:rPr>
          <w:rFonts w:ascii="Times New Roman" w:eastAsia="Times New Roman" w:hAnsi="Times New Roman" w:cs="Times New Roman"/>
          <w:sz w:val="24"/>
          <w:szCs w:val="24"/>
        </w:rPr>
        <w:t xml:space="preserve"> exclusionary</w:t>
      </w:r>
      <w:r>
        <w:rPr>
          <w:rFonts w:ascii="Times New Roman" w:eastAsia="Times New Roman" w:hAnsi="Times New Roman" w:cs="Times New Roman"/>
          <w:sz w:val="24"/>
          <w:szCs w:val="24"/>
        </w:rPr>
        <w:t xml:space="preserve"> zoning designed to </w:t>
      </w:r>
      <w:r>
        <w:rPr>
          <w:rFonts w:ascii="Times New Roman" w:eastAsia="Times New Roman" w:hAnsi="Times New Roman" w:cs="Times New Roman"/>
          <w:color w:val="222222"/>
          <w:sz w:val="24"/>
          <w:szCs w:val="24"/>
        </w:rPr>
        <w:t xml:space="preserve">prevent the construction of low-and middle-income housing which would have disproportionately curtailed the availability of housing for African American and </w:t>
      </w:r>
      <w:proofErr w:type="spellStart"/>
      <w:r>
        <w:rPr>
          <w:rFonts w:ascii="Times New Roman" w:eastAsia="Times New Roman" w:hAnsi="Times New Roman" w:cs="Times New Roman"/>
          <w:color w:val="222222"/>
          <w:sz w:val="24"/>
          <w:szCs w:val="24"/>
        </w:rPr>
        <w:t>Latinx</w:t>
      </w:r>
      <w:proofErr w:type="spellEnd"/>
      <w:r>
        <w:rPr>
          <w:rFonts w:ascii="Times New Roman" w:eastAsia="Times New Roman" w:hAnsi="Times New Roman" w:cs="Times New Roman"/>
          <w:color w:val="222222"/>
          <w:sz w:val="24"/>
          <w:szCs w:val="24"/>
        </w:rPr>
        <w:t xml:space="preserve"> families. </w:t>
      </w:r>
    </w:p>
    <w:p w14:paraId="00000025" w14:textId="77777777" w:rsidR="003D76CA" w:rsidRDefault="0039660E">
      <w:pPr>
        <w:shd w:val="clear" w:color="auto" w:fill="FFFFFF"/>
        <w:ind w:left="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14:paraId="00000026" w14:textId="77777777" w:rsidR="003D76CA" w:rsidRDefault="0039660E">
      <w:pPr>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  </w:t>
      </w:r>
      <w:r>
        <w:rPr>
          <w:rFonts w:ascii="Times New Roman" w:eastAsia="Times New Roman" w:hAnsi="Times New Roman" w:cs="Times New Roman"/>
          <w:color w:val="222222"/>
          <w:sz w:val="24"/>
          <w:szCs w:val="24"/>
        </w:rPr>
        <w:t>In</w:t>
      </w:r>
      <w:proofErr w:type="gram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sz w:val="24"/>
          <w:szCs w:val="24"/>
        </w:rPr>
        <w:t>Pennsylvania, disparate impact was used to</w:t>
      </w:r>
      <w:hyperlink r:id="rId16">
        <w:r>
          <w:rPr>
            <w:rFonts w:ascii="Times New Roman" w:eastAsia="Times New Roman" w:hAnsi="Times New Roman" w:cs="Times New Roman"/>
            <w:sz w:val="24"/>
            <w:szCs w:val="24"/>
          </w:rPr>
          <w:t xml:space="preserve"> </w:t>
        </w:r>
      </w:hyperlink>
      <w:hyperlink r:id="rId17">
        <w:r>
          <w:rPr>
            <w:rFonts w:ascii="Times New Roman" w:eastAsia="Times New Roman" w:hAnsi="Times New Roman" w:cs="Times New Roman"/>
            <w:color w:val="1155CC"/>
            <w:sz w:val="24"/>
            <w:szCs w:val="24"/>
            <w:u w:val="single"/>
          </w:rPr>
          <w:t>challenge</w:t>
        </w:r>
      </w:hyperlink>
      <w:r>
        <w:rPr>
          <w:rFonts w:ascii="Times New Roman" w:eastAsia="Times New Roman" w:hAnsi="Times New Roman" w:cs="Times New Roman"/>
          <w:sz w:val="24"/>
          <w:szCs w:val="24"/>
        </w:rPr>
        <w:t xml:space="preserve"> local restrictions that prevented a young man</w:t>
      </w:r>
      <w:r>
        <w:rPr>
          <w:rFonts w:ascii="Times New Roman" w:eastAsia="Times New Roman" w:hAnsi="Times New Roman" w:cs="Times New Roman"/>
          <w:sz w:val="24"/>
          <w:szCs w:val="24"/>
        </w:rPr>
        <w:t xml:space="preserve"> with physical and intellectual disabilities from “endeavor[</w:t>
      </w:r>
      <w:proofErr w:type="spellStart"/>
      <w:r>
        <w:rPr>
          <w:rFonts w:ascii="Times New Roman" w:eastAsia="Times New Roman" w:hAnsi="Times New Roman" w:cs="Times New Roman"/>
          <w:sz w:val="24"/>
          <w:szCs w:val="24"/>
        </w:rPr>
        <w:t>ing</w:t>
      </w:r>
      <w:proofErr w:type="spellEnd"/>
      <w:r>
        <w:rPr>
          <w:rFonts w:ascii="Times New Roman" w:eastAsia="Times New Roman" w:hAnsi="Times New Roman" w:cs="Times New Roman"/>
          <w:sz w:val="24"/>
          <w:szCs w:val="24"/>
        </w:rPr>
        <w:t>] to live individually in the house of his own choosing.”</w:t>
      </w:r>
    </w:p>
    <w:p w14:paraId="00000027" w14:textId="77777777" w:rsidR="003D76CA" w:rsidRDefault="003966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8" w14:textId="77777777" w:rsidR="003D76CA" w:rsidRDefault="003966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nation has a vested interest in ensuring that housing opportunities are available to every individual. Indeed, the very</w:t>
      </w:r>
      <w:hyperlink r:id="rId18">
        <w:r>
          <w:rPr>
            <w:rFonts w:ascii="Times New Roman" w:eastAsia="Times New Roman" w:hAnsi="Times New Roman" w:cs="Times New Roman"/>
            <w:sz w:val="24"/>
            <w:szCs w:val="24"/>
          </w:rPr>
          <w:t xml:space="preserve"> </w:t>
        </w:r>
      </w:hyperlink>
      <w:hyperlink r:id="rId19">
        <w:r>
          <w:rPr>
            <w:rFonts w:ascii="Times New Roman" w:eastAsia="Times New Roman" w:hAnsi="Times New Roman" w:cs="Times New Roman"/>
            <w:color w:val="1155CC"/>
            <w:sz w:val="24"/>
            <w:szCs w:val="24"/>
            <w:u w:val="single"/>
          </w:rPr>
          <w:t>mission</w:t>
        </w:r>
      </w:hyperlink>
      <w:r>
        <w:rPr>
          <w:rFonts w:ascii="Times New Roman" w:eastAsia="Times New Roman" w:hAnsi="Times New Roman" w:cs="Times New Roman"/>
          <w:sz w:val="24"/>
          <w:szCs w:val="24"/>
        </w:rPr>
        <w:t xml:space="preserve"> of HUD is not just to ensure housing opportunities, but to “build inclusive and sustainable communities free from discrimination.” HUD should focus on </w:t>
      </w:r>
      <w:r>
        <w:rPr>
          <w:rFonts w:ascii="Times New Roman" w:eastAsia="Times New Roman" w:hAnsi="Times New Roman" w:cs="Times New Roman"/>
          <w:sz w:val="24"/>
          <w:szCs w:val="24"/>
        </w:rPr>
        <w:t xml:space="preserve">vigorously ensuring that housing providers around the country comply with the Fair Housing Act and meet the standards set forth by the existing disparate impact rule. This rule strengthens our communities and our nation by allowing victims of all types of </w:t>
      </w:r>
      <w:r>
        <w:rPr>
          <w:rFonts w:ascii="Times New Roman" w:eastAsia="Times New Roman" w:hAnsi="Times New Roman" w:cs="Times New Roman"/>
          <w:sz w:val="24"/>
          <w:szCs w:val="24"/>
        </w:rPr>
        <w:t xml:space="preserve">systemic discrimination to seek recourse and change policies and practices that limit their housing and all other types of opportunities.  </w:t>
      </w:r>
    </w:p>
    <w:p w14:paraId="00000029" w14:textId="77777777" w:rsidR="003D76CA" w:rsidRDefault="0039660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A" w14:textId="77777777" w:rsidR="003D76CA" w:rsidRDefault="003966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the opportunity to comment.  Please contact [</w:t>
      </w:r>
      <w:r>
        <w:rPr>
          <w:rFonts w:ascii="Times New Roman" w:eastAsia="Times New Roman" w:hAnsi="Times New Roman" w:cs="Times New Roman"/>
          <w:sz w:val="24"/>
          <w:szCs w:val="24"/>
          <w:highlight w:val="yellow"/>
        </w:rPr>
        <w:t>insert contact name and information</w:t>
      </w:r>
      <w:r>
        <w:rPr>
          <w:rFonts w:ascii="Times New Roman" w:eastAsia="Times New Roman" w:hAnsi="Times New Roman" w:cs="Times New Roman"/>
          <w:sz w:val="24"/>
          <w:szCs w:val="24"/>
        </w:rPr>
        <w:t>] regarding these co</w:t>
      </w:r>
      <w:r>
        <w:rPr>
          <w:rFonts w:ascii="Times New Roman" w:eastAsia="Times New Roman" w:hAnsi="Times New Roman" w:cs="Times New Roman"/>
          <w:sz w:val="24"/>
          <w:szCs w:val="24"/>
        </w:rPr>
        <w:t xml:space="preserve">mments. </w:t>
      </w:r>
    </w:p>
    <w:p w14:paraId="0000002B" w14:textId="77777777" w:rsidR="003D76CA" w:rsidRDefault="003966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C" w14:textId="77777777" w:rsidR="003D76CA" w:rsidRDefault="003966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14:paraId="0000002D" w14:textId="77777777" w:rsidR="003D76CA" w:rsidRDefault="0039660E">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[Name]</w:t>
      </w:r>
    </w:p>
    <w:p w14:paraId="0000002E" w14:textId="77777777" w:rsidR="003D76CA" w:rsidRDefault="0039660E">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[Title]</w:t>
      </w:r>
    </w:p>
    <w:p w14:paraId="0000002F" w14:textId="77777777" w:rsidR="003D76CA" w:rsidRDefault="0039660E">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[Organization]</w:t>
      </w:r>
    </w:p>
    <w:p w14:paraId="00000030" w14:textId="77777777" w:rsidR="003D76CA" w:rsidRDefault="0039660E">
      <w:r>
        <w:t xml:space="preserve"> </w:t>
      </w:r>
    </w:p>
    <w:p w14:paraId="00000031" w14:textId="77777777" w:rsidR="003D76CA" w:rsidRDefault="003D76CA"/>
    <w:sectPr w:rsidR="003D76C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6CA"/>
    <w:rsid w:val="0039660E"/>
    <w:rsid w:val="003D7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2433AB-F88A-4138-8E3C-D293F936A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lawyerscommittee.org/historic-agreement-resolves-environmental-justice-complaint-in-corpus-christi-texas/" TargetMode="External"/><Relationship Id="rId13" Type="http://schemas.openxmlformats.org/officeDocument/2006/relationships/hyperlink" Target="https://openjurist.org/858/f2d/467" TargetMode="External"/><Relationship Id="rId18" Type="http://schemas.openxmlformats.org/officeDocument/2006/relationships/hyperlink" Target="https://www.hud.gov/about/mission"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dianerehm.org/shows/2016-03-31/transportation-secretary-anthony-foxx-on-transportation-opportunity-and-the-legacy-of-the-u-s-highway-system" TargetMode="External"/><Relationship Id="rId12" Type="http://schemas.openxmlformats.org/officeDocument/2006/relationships/hyperlink" Target="https://openjurist.org/858/f2d/467" TargetMode="External"/><Relationship Id="rId17" Type="http://schemas.openxmlformats.org/officeDocument/2006/relationships/hyperlink" Target="https://www.courtlistener.com/opinion/2517506/sharpvisions-inc-v-borough-of-plum/" TargetMode="External"/><Relationship Id="rId2" Type="http://schemas.openxmlformats.org/officeDocument/2006/relationships/settings" Target="settings.xml"/><Relationship Id="rId16" Type="http://schemas.openxmlformats.org/officeDocument/2006/relationships/hyperlink" Target="https://www.courtlistener.com/opinion/2517506/sharpvisions-inc-v-borough-of-plu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ianerehm.org/shows/2016-03-31/transportation-secretary-anthony-foxx-on-transportation-opportunity-and-the-legacy-of-the-u-s-highway-system" TargetMode="External"/><Relationship Id="rId11" Type="http://schemas.openxmlformats.org/officeDocument/2006/relationships/hyperlink" Target="https://www.naacpldf.org/case-issue/baltimore-red-line/" TargetMode="External"/><Relationship Id="rId5" Type="http://schemas.openxmlformats.org/officeDocument/2006/relationships/hyperlink" Target="https://www.racialequitytools.org/resourcefiles/sanchez-moving-to-equity-transportation-policies.pdf" TargetMode="External"/><Relationship Id="rId15" Type="http://schemas.openxmlformats.org/officeDocument/2006/relationships/hyperlink" Target="https://www.casemine.com/judgement/us/59c4a9d7add7b078c7e2d6e1" TargetMode="External"/><Relationship Id="rId10" Type="http://schemas.openxmlformats.org/officeDocument/2006/relationships/hyperlink" Target="https://www.naacpldf.org/case-issue/baltimore-red-line/" TargetMode="External"/><Relationship Id="rId19" Type="http://schemas.openxmlformats.org/officeDocument/2006/relationships/hyperlink" Target="https://www.hud.gov/about/mission" TargetMode="External"/><Relationship Id="rId4" Type="http://schemas.openxmlformats.org/officeDocument/2006/relationships/hyperlink" Target="https://www.racialequitytools.org/resourcefiles/sanchez-moving-to-equity-transportation-policies.pdf" TargetMode="External"/><Relationship Id="rId9" Type="http://schemas.openxmlformats.org/officeDocument/2006/relationships/hyperlink" Target="https://lawyerscommittee.org/historic-agreement-resolves-environmental-justice-complaint-in-corpus-christi-texas/" TargetMode="External"/><Relationship Id="rId14" Type="http://schemas.openxmlformats.org/officeDocument/2006/relationships/hyperlink" Target="https://www.casemine.com/judgement/us/59c4a9d7add7b078c7e2d6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1292</Words>
  <Characters>7365</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Gramlich</dc:creator>
  <cp:lastModifiedBy>Ed Gramlich</cp:lastModifiedBy>
  <cp:revision>2</cp:revision>
  <dcterms:created xsi:type="dcterms:W3CDTF">2019-10-01T20:06:00Z</dcterms:created>
  <dcterms:modified xsi:type="dcterms:W3CDTF">2019-10-01T20:06:00Z</dcterms:modified>
</cp:coreProperties>
</file>