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CCF1" w14:textId="49C379DC" w:rsidR="0012490F" w:rsidRPr="00CE2B55" w:rsidRDefault="00CE2B55" w:rsidP="00CE2B55">
      <w:pPr>
        <w:jc w:val="center"/>
        <w:rPr>
          <w:b/>
          <w:bCs/>
        </w:rPr>
      </w:pPr>
      <w:r w:rsidRPr="00CE2B55">
        <w:rPr>
          <w:b/>
          <w:bCs/>
        </w:rPr>
        <w:t>AFFH SAMPLE COMMENT LETTER</w:t>
      </w:r>
    </w:p>
    <w:p w14:paraId="010E23E0" w14:textId="3A3A343B" w:rsidR="00CE2B55" w:rsidRDefault="00CE2B55"/>
    <w:p w14:paraId="65F28A8E" w14:textId="11E8AFFB" w:rsidR="003C2FC1" w:rsidRPr="003C2FC1" w:rsidRDefault="003F4920">
      <w:pPr>
        <w:rPr>
          <w:rFonts w:ascii="Arial" w:hAnsi="Arial" w:cs="Arial"/>
        </w:rPr>
      </w:pPr>
      <w:r>
        <w:rPr>
          <w:rFonts w:ascii="Arial" w:hAnsi="Arial" w:cs="Arial"/>
        </w:rPr>
        <w:t>[</w:t>
      </w:r>
      <w:r w:rsidR="003C2FC1" w:rsidRPr="008631A0">
        <w:rPr>
          <w:rFonts w:ascii="Arial" w:hAnsi="Arial" w:cs="Arial"/>
          <w:highlight w:val="yellow"/>
        </w:rPr>
        <w:t>Note to advocates: In the draft below, except for references to your organization’s name, etc. the text in brackets, italics, and arial font is there for your background – it can (and should) be deleted from your actual comment letter</w:t>
      </w:r>
      <w:r w:rsidR="003C2FC1" w:rsidRPr="003C2FC1">
        <w:rPr>
          <w:rFonts w:ascii="Arial" w:hAnsi="Arial" w:cs="Arial"/>
        </w:rPr>
        <w:t>.</w:t>
      </w:r>
      <w:r>
        <w:rPr>
          <w:rFonts w:ascii="Arial" w:hAnsi="Arial" w:cs="Arial"/>
        </w:rPr>
        <w:t>]</w:t>
      </w:r>
    </w:p>
    <w:p w14:paraId="1D654879" w14:textId="77777777" w:rsidR="003C2FC1" w:rsidRDefault="003C2FC1"/>
    <w:p w14:paraId="541DD0EA" w14:textId="77777777" w:rsidR="004510A9" w:rsidRPr="005C0D81" w:rsidRDefault="004510A9" w:rsidP="004510A9">
      <w:pPr>
        <w:rPr>
          <w:rFonts w:cs="Times New Roman"/>
          <w:szCs w:val="24"/>
        </w:rPr>
      </w:pPr>
      <w:r w:rsidRPr="005C0D81">
        <w:rPr>
          <w:rFonts w:cs="Times New Roman"/>
          <w:szCs w:val="24"/>
        </w:rPr>
        <w:t>Regulations Division</w:t>
      </w:r>
    </w:p>
    <w:p w14:paraId="16E492FA" w14:textId="77777777" w:rsidR="004510A9" w:rsidRPr="005C0D81" w:rsidRDefault="004510A9" w:rsidP="004510A9">
      <w:pPr>
        <w:rPr>
          <w:rFonts w:cs="Times New Roman"/>
          <w:szCs w:val="24"/>
        </w:rPr>
      </w:pPr>
      <w:r w:rsidRPr="005C0D81">
        <w:rPr>
          <w:rFonts w:cs="Times New Roman"/>
          <w:szCs w:val="24"/>
        </w:rPr>
        <w:t>Office of General Coun</w:t>
      </w:r>
      <w:r>
        <w:rPr>
          <w:rFonts w:cs="Times New Roman"/>
          <w:szCs w:val="24"/>
        </w:rPr>
        <w:t>se</w:t>
      </w:r>
      <w:r w:rsidRPr="005C0D81">
        <w:rPr>
          <w:rFonts w:cs="Times New Roman"/>
          <w:szCs w:val="24"/>
        </w:rPr>
        <w:t>l</w:t>
      </w:r>
    </w:p>
    <w:p w14:paraId="59E73EDC" w14:textId="77777777" w:rsidR="004510A9" w:rsidRPr="005C0D81" w:rsidRDefault="004510A9" w:rsidP="004510A9">
      <w:pPr>
        <w:rPr>
          <w:rFonts w:cs="Times New Roman"/>
          <w:szCs w:val="24"/>
        </w:rPr>
      </w:pPr>
      <w:r w:rsidRPr="005C0D81">
        <w:rPr>
          <w:rFonts w:cs="Times New Roman"/>
          <w:szCs w:val="24"/>
        </w:rPr>
        <w:t>Department of Housing and Urban Development</w:t>
      </w:r>
    </w:p>
    <w:p w14:paraId="1763670D" w14:textId="77777777" w:rsidR="004510A9" w:rsidRPr="005C0D81" w:rsidRDefault="004510A9" w:rsidP="004510A9">
      <w:pPr>
        <w:rPr>
          <w:rFonts w:cs="Times New Roman"/>
          <w:szCs w:val="24"/>
        </w:rPr>
      </w:pPr>
      <w:r w:rsidRPr="005C0D81">
        <w:rPr>
          <w:rFonts w:cs="Times New Roman"/>
          <w:szCs w:val="24"/>
        </w:rPr>
        <w:t>451 7</w:t>
      </w:r>
      <w:r w:rsidRPr="005C0D81">
        <w:rPr>
          <w:rFonts w:cs="Times New Roman"/>
          <w:szCs w:val="24"/>
          <w:vertAlign w:val="superscript"/>
        </w:rPr>
        <w:t>th</w:t>
      </w:r>
      <w:r w:rsidRPr="005C0D81">
        <w:rPr>
          <w:rFonts w:cs="Times New Roman"/>
          <w:szCs w:val="24"/>
        </w:rPr>
        <w:t xml:space="preserve"> Street SW</w:t>
      </w:r>
    </w:p>
    <w:p w14:paraId="5B750B21" w14:textId="77777777" w:rsidR="004510A9" w:rsidRPr="005C0D81" w:rsidRDefault="004510A9" w:rsidP="004510A9">
      <w:pPr>
        <w:rPr>
          <w:rFonts w:cs="Times New Roman"/>
          <w:szCs w:val="24"/>
        </w:rPr>
      </w:pPr>
      <w:r w:rsidRPr="005C0D81">
        <w:rPr>
          <w:rFonts w:cs="Times New Roman"/>
          <w:szCs w:val="24"/>
        </w:rPr>
        <w:t>Room 10276</w:t>
      </w:r>
    </w:p>
    <w:p w14:paraId="3438CDAD" w14:textId="572096F3" w:rsidR="004510A9" w:rsidRDefault="004510A9" w:rsidP="004510A9">
      <w:pPr>
        <w:rPr>
          <w:rFonts w:cs="Times New Roman"/>
          <w:szCs w:val="24"/>
        </w:rPr>
      </w:pPr>
      <w:r w:rsidRPr="005C0D81">
        <w:rPr>
          <w:rFonts w:cs="Times New Roman"/>
          <w:szCs w:val="24"/>
        </w:rPr>
        <w:t>Washington, DC 20410-0500</w:t>
      </w:r>
    </w:p>
    <w:p w14:paraId="023733C7" w14:textId="77777777" w:rsidR="004510A9" w:rsidRPr="005C0D81" w:rsidRDefault="004510A9" w:rsidP="004510A9">
      <w:pPr>
        <w:rPr>
          <w:rFonts w:cs="Times New Roman"/>
          <w:szCs w:val="24"/>
        </w:rPr>
      </w:pPr>
    </w:p>
    <w:p w14:paraId="66743A9A" w14:textId="4CDCCA83" w:rsidR="009C29C7" w:rsidRPr="005C0D81" w:rsidRDefault="004510A9" w:rsidP="004510A9">
      <w:pPr>
        <w:rPr>
          <w:rFonts w:cs="Times New Roman"/>
          <w:szCs w:val="24"/>
        </w:rPr>
      </w:pPr>
      <w:r w:rsidRPr="005C0D81">
        <w:rPr>
          <w:rFonts w:cs="Times New Roman"/>
          <w:szCs w:val="24"/>
        </w:rPr>
        <w:t>Via regulations.gov</w:t>
      </w:r>
      <w:r>
        <w:rPr>
          <w:rFonts w:cs="Times New Roman"/>
          <w:szCs w:val="24"/>
        </w:rPr>
        <w:t xml:space="preserve"> [</w:t>
      </w:r>
      <w:hyperlink r:id="rId7" w:history="1">
        <w:r w:rsidR="009C29C7" w:rsidRPr="002058A1">
          <w:rPr>
            <w:rStyle w:val="Hyperlink"/>
            <w:rFonts w:cs="Times New Roman"/>
            <w:szCs w:val="24"/>
          </w:rPr>
          <w:t>https://www.regulations.gov/commenton/HUD-2023-0009-0001</w:t>
        </w:r>
      </w:hyperlink>
      <w:r w:rsidR="009C29C7">
        <w:rPr>
          <w:rFonts w:cs="Times New Roman"/>
          <w:szCs w:val="24"/>
        </w:rPr>
        <w:t>]</w:t>
      </w:r>
      <w:r>
        <w:rPr>
          <w:rFonts w:cs="Times New Roman"/>
          <w:szCs w:val="24"/>
        </w:rPr>
        <w:t xml:space="preserve"> </w:t>
      </w:r>
    </w:p>
    <w:p w14:paraId="53CEB973" w14:textId="77777777" w:rsidR="004510A9" w:rsidRDefault="004510A9" w:rsidP="004510A9">
      <w:pPr>
        <w:rPr>
          <w:rFonts w:cs="Times New Roman"/>
          <w:szCs w:val="24"/>
        </w:rPr>
      </w:pPr>
    </w:p>
    <w:p w14:paraId="3CAD40CD" w14:textId="77777777" w:rsidR="004510A9" w:rsidRPr="005C0D81" w:rsidRDefault="004510A9" w:rsidP="004510A9">
      <w:pPr>
        <w:rPr>
          <w:rFonts w:cs="Times New Roman"/>
          <w:szCs w:val="24"/>
        </w:rPr>
      </w:pPr>
      <w:r w:rsidRPr="005C0D81">
        <w:rPr>
          <w:rFonts w:cs="Times New Roman"/>
          <w:szCs w:val="24"/>
        </w:rPr>
        <w:t>[</w:t>
      </w:r>
      <w:r w:rsidRPr="005C0D81">
        <w:rPr>
          <w:rFonts w:cs="Times New Roman"/>
          <w:i/>
          <w:szCs w:val="24"/>
        </w:rPr>
        <w:t>Date</w:t>
      </w:r>
      <w:r w:rsidRPr="005C0D81">
        <w:rPr>
          <w:rFonts w:cs="Times New Roman"/>
          <w:szCs w:val="24"/>
        </w:rPr>
        <w:t>]</w:t>
      </w:r>
    </w:p>
    <w:p w14:paraId="5D9BD203" w14:textId="77777777" w:rsidR="004510A9" w:rsidRPr="005C0D81" w:rsidRDefault="004510A9" w:rsidP="004510A9">
      <w:pPr>
        <w:rPr>
          <w:rFonts w:cs="Times New Roman"/>
          <w:szCs w:val="24"/>
        </w:rPr>
      </w:pPr>
    </w:p>
    <w:p w14:paraId="20081620" w14:textId="5534108A" w:rsidR="004510A9" w:rsidRPr="004510A9" w:rsidRDefault="004510A9" w:rsidP="004510A9">
      <w:pPr>
        <w:autoSpaceDE w:val="0"/>
        <w:autoSpaceDN w:val="0"/>
        <w:adjustRightInd w:val="0"/>
        <w:rPr>
          <w:rFonts w:cs="Times New Roman"/>
          <w:szCs w:val="24"/>
        </w:rPr>
      </w:pPr>
      <w:r>
        <w:rPr>
          <w:rFonts w:cs="Times New Roman"/>
          <w:szCs w:val="24"/>
        </w:rPr>
        <w:t xml:space="preserve">Re: </w:t>
      </w:r>
      <w:r w:rsidRPr="004510A9">
        <w:rPr>
          <w:rFonts w:cs="Times New Roman"/>
          <w:szCs w:val="24"/>
        </w:rPr>
        <w:t>Docket No. FR–6250–P–01</w:t>
      </w:r>
      <w:r>
        <w:rPr>
          <w:rFonts w:cs="Times New Roman"/>
          <w:szCs w:val="24"/>
        </w:rPr>
        <w:t xml:space="preserve">, </w:t>
      </w:r>
      <w:r w:rsidRPr="004510A9">
        <w:rPr>
          <w:rFonts w:cs="Times New Roman"/>
          <w:szCs w:val="24"/>
        </w:rPr>
        <w:t>Affirmatively Furthering Fair Housing</w:t>
      </w:r>
    </w:p>
    <w:p w14:paraId="71459659" w14:textId="77777777" w:rsidR="004510A9" w:rsidRPr="005C0D81" w:rsidRDefault="004510A9" w:rsidP="004510A9">
      <w:pPr>
        <w:rPr>
          <w:rFonts w:cs="Times New Roman"/>
          <w:szCs w:val="24"/>
        </w:rPr>
      </w:pPr>
    </w:p>
    <w:p w14:paraId="15A5D48A" w14:textId="77777777" w:rsidR="004510A9" w:rsidRPr="005C0D81" w:rsidRDefault="004510A9" w:rsidP="004510A9">
      <w:pPr>
        <w:rPr>
          <w:rFonts w:cs="Times New Roman"/>
          <w:szCs w:val="24"/>
        </w:rPr>
      </w:pPr>
      <w:r w:rsidRPr="005C0D81">
        <w:rPr>
          <w:rFonts w:cs="Times New Roman"/>
          <w:szCs w:val="24"/>
        </w:rPr>
        <w:t>[</w:t>
      </w:r>
      <w:r w:rsidRPr="005C0D81">
        <w:rPr>
          <w:rFonts w:cs="Times New Roman"/>
          <w:i/>
          <w:szCs w:val="24"/>
        </w:rPr>
        <w:t>Short paragraph describing your organization</w:t>
      </w:r>
      <w:r w:rsidRPr="005C0D81">
        <w:rPr>
          <w:rFonts w:cs="Times New Roman"/>
          <w:szCs w:val="24"/>
        </w:rPr>
        <w:t>]</w:t>
      </w:r>
    </w:p>
    <w:p w14:paraId="15D75D85" w14:textId="77777777" w:rsidR="004510A9" w:rsidRPr="005C0D81" w:rsidRDefault="004510A9" w:rsidP="004510A9">
      <w:pPr>
        <w:rPr>
          <w:rFonts w:cs="Times New Roman"/>
          <w:szCs w:val="24"/>
        </w:rPr>
      </w:pPr>
    </w:p>
    <w:p w14:paraId="022B7151" w14:textId="45023833" w:rsidR="004510A9" w:rsidRPr="00F2733D" w:rsidRDefault="004510A9" w:rsidP="004510A9">
      <w:pPr>
        <w:rPr>
          <w:rFonts w:cs="Times New Roman"/>
          <w:strike/>
          <w:szCs w:val="24"/>
        </w:rPr>
      </w:pPr>
      <w:r w:rsidRPr="005C0D81">
        <w:rPr>
          <w:rFonts w:cs="Times New Roman"/>
          <w:szCs w:val="24"/>
        </w:rPr>
        <w:t>[</w:t>
      </w:r>
      <w:r w:rsidRPr="005C0D81">
        <w:rPr>
          <w:rFonts w:cs="Times New Roman"/>
          <w:i/>
          <w:szCs w:val="24"/>
        </w:rPr>
        <w:t>Your organization</w:t>
      </w:r>
      <w:r w:rsidRPr="005C0D81">
        <w:rPr>
          <w:rFonts w:cs="Times New Roman"/>
          <w:szCs w:val="24"/>
        </w:rPr>
        <w:t xml:space="preserve">] supports the proposed </w:t>
      </w:r>
      <w:r w:rsidR="008851BA">
        <w:rPr>
          <w:rFonts w:cs="Times New Roman"/>
          <w:szCs w:val="24"/>
        </w:rPr>
        <w:t>regulations to implement the obligation to affirmatively further fair housing</w:t>
      </w:r>
      <w:r w:rsidR="00F2733D">
        <w:rPr>
          <w:rFonts w:cs="Times New Roman"/>
          <w:szCs w:val="24"/>
        </w:rPr>
        <w:t xml:space="preserve"> (AFFH) from</w:t>
      </w:r>
      <w:r w:rsidR="008851BA">
        <w:rPr>
          <w:rFonts w:cs="Times New Roman"/>
          <w:szCs w:val="24"/>
        </w:rPr>
        <w:t xml:space="preserve"> “Title VIII of the Civil Rights Act of 1968,” </w:t>
      </w:r>
      <w:r w:rsidR="00F2733D">
        <w:rPr>
          <w:rFonts w:cs="Times New Roman"/>
          <w:szCs w:val="24"/>
        </w:rPr>
        <w:t xml:space="preserve">also known as </w:t>
      </w:r>
      <w:r w:rsidR="008851BA">
        <w:rPr>
          <w:rFonts w:cs="Times New Roman"/>
          <w:szCs w:val="24"/>
        </w:rPr>
        <w:t>the “Fair Housing Act.” We consider the proposed rule an improvement</w:t>
      </w:r>
      <w:r w:rsidR="002D0C57">
        <w:rPr>
          <w:rFonts w:cs="Times New Roman"/>
          <w:szCs w:val="24"/>
        </w:rPr>
        <w:t xml:space="preserve"> of the</w:t>
      </w:r>
      <w:r w:rsidR="008851BA">
        <w:rPr>
          <w:rFonts w:cs="Times New Roman"/>
          <w:szCs w:val="24"/>
        </w:rPr>
        <w:t xml:space="preserve"> 2015</w:t>
      </w:r>
      <w:r w:rsidR="00F2733D">
        <w:rPr>
          <w:rFonts w:cs="Times New Roman"/>
          <w:szCs w:val="24"/>
        </w:rPr>
        <w:t xml:space="preserve"> </w:t>
      </w:r>
      <w:r w:rsidR="008851BA">
        <w:rPr>
          <w:rFonts w:cs="Times New Roman"/>
          <w:szCs w:val="24"/>
        </w:rPr>
        <w:t>AFFH</w:t>
      </w:r>
      <w:r w:rsidR="00584FF5">
        <w:rPr>
          <w:rFonts w:cs="Times New Roman"/>
          <w:szCs w:val="24"/>
        </w:rPr>
        <w:t xml:space="preserve"> rule</w:t>
      </w:r>
      <w:r w:rsidR="00F2733D">
        <w:rPr>
          <w:rFonts w:cs="Times New Roman"/>
          <w:szCs w:val="24"/>
        </w:rPr>
        <w:t xml:space="preserve">. </w:t>
      </w:r>
      <w:r w:rsidR="00584FF5">
        <w:rPr>
          <w:rFonts w:cs="Times New Roman"/>
          <w:szCs w:val="24"/>
        </w:rPr>
        <w:t xml:space="preserve">It is imperative that HUD issue effective </w:t>
      </w:r>
      <w:r w:rsidRPr="005C0D81">
        <w:rPr>
          <w:rFonts w:cs="Times New Roman"/>
          <w:szCs w:val="24"/>
        </w:rPr>
        <w:t xml:space="preserve">regulations </w:t>
      </w:r>
      <w:r w:rsidR="00584FF5">
        <w:rPr>
          <w:rFonts w:cs="Times New Roman"/>
          <w:szCs w:val="24"/>
        </w:rPr>
        <w:t xml:space="preserve">to finally implement </w:t>
      </w:r>
      <w:r w:rsidRPr="005C0D81">
        <w:rPr>
          <w:rFonts w:cs="Times New Roman"/>
          <w:szCs w:val="24"/>
        </w:rPr>
        <w:t xml:space="preserve">the Fair Housing Act’s requirement to ensure that all federal agencies administer their programs relating to housing and community development in a manner that affirmatively furthers fair housing. </w:t>
      </w:r>
    </w:p>
    <w:p w14:paraId="3A1BAAD6" w14:textId="2B34393D" w:rsidR="00CE2B55" w:rsidRDefault="00CE2B55"/>
    <w:p w14:paraId="0D84A691" w14:textId="6FF7138B" w:rsidR="00F2733D" w:rsidRDefault="00F2733D">
      <w:r>
        <w:t>[</w:t>
      </w:r>
      <w:r w:rsidRPr="00F2733D">
        <w:rPr>
          <w:i/>
          <w:iCs/>
        </w:rPr>
        <w:t>Very brief description of your organization and perhaps why AFFH matters to your organization’s work</w:t>
      </w:r>
      <w:r>
        <w:t>.]</w:t>
      </w:r>
    </w:p>
    <w:p w14:paraId="76836E05" w14:textId="77777777" w:rsidR="00F2733D" w:rsidRDefault="00F2733D"/>
    <w:p w14:paraId="26FD68FA" w14:textId="0F897DB1" w:rsidR="00E2157B" w:rsidRDefault="00E2157B">
      <w:pPr>
        <w:rPr>
          <w:rFonts w:cs="Times New Roman"/>
          <w:szCs w:val="24"/>
        </w:rPr>
      </w:pPr>
      <w:r w:rsidRPr="005C0D81">
        <w:rPr>
          <w:rFonts w:cs="Times New Roman"/>
          <w:szCs w:val="24"/>
        </w:rPr>
        <w:t>[</w:t>
      </w:r>
      <w:r w:rsidRPr="005C0D81">
        <w:rPr>
          <w:rFonts w:cs="Times New Roman"/>
          <w:i/>
          <w:szCs w:val="24"/>
        </w:rPr>
        <w:t>Your organization</w:t>
      </w:r>
      <w:r w:rsidRPr="005C0D81">
        <w:rPr>
          <w:rFonts w:cs="Times New Roman"/>
          <w:szCs w:val="24"/>
        </w:rPr>
        <w:t xml:space="preserve">] applauds the many proposed regulatory </w:t>
      </w:r>
      <w:r>
        <w:rPr>
          <w:rFonts w:cs="Times New Roman"/>
          <w:szCs w:val="24"/>
        </w:rPr>
        <w:t>provisions</w:t>
      </w:r>
      <w:r w:rsidR="00E50E8B">
        <w:rPr>
          <w:rFonts w:cs="Times New Roman"/>
          <w:szCs w:val="24"/>
        </w:rPr>
        <w:t xml:space="preserve">. We highlight </w:t>
      </w:r>
      <w:r w:rsidR="00437EEF">
        <w:rPr>
          <w:rFonts w:cs="Times New Roman"/>
          <w:szCs w:val="24"/>
        </w:rPr>
        <w:t>six</w:t>
      </w:r>
      <w:r w:rsidR="00E50E8B">
        <w:rPr>
          <w:rFonts w:cs="Times New Roman"/>
          <w:szCs w:val="24"/>
        </w:rPr>
        <w:t xml:space="preserve"> for particular attention:</w:t>
      </w:r>
    </w:p>
    <w:p w14:paraId="4F0045AE" w14:textId="77777777" w:rsidR="009A13F7" w:rsidRDefault="009A13F7">
      <w:pPr>
        <w:rPr>
          <w:rFonts w:cs="Times New Roman"/>
          <w:szCs w:val="24"/>
        </w:rPr>
      </w:pPr>
    </w:p>
    <w:p w14:paraId="558ABA63" w14:textId="7AA01FD5" w:rsidR="00564482" w:rsidRPr="004C6FC7" w:rsidRDefault="00C96A2C" w:rsidP="00B02714">
      <w:pPr>
        <w:pStyle w:val="ListParagraph"/>
        <w:numPr>
          <w:ilvl w:val="0"/>
          <w:numId w:val="1"/>
        </w:numPr>
        <w:rPr>
          <w:rFonts w:cs="Times New Roman"/>
        </w:rPr>
      </w:pPr>
      <w:r>
        <w:rPr>
          <w:rFonts w:cs="Times New Roman"/>
          <w:b/>
          <w:bCs/>
        </w:rPr>
        <w:t>E</w:t>
      </w:r>
      <w:r w:rsidR="00E2157B" w:rsidRPr="003F6438">
        <w:rPr>
          <w:rFonts w:cs="Times New Roman"/>
          <w:b/>
          <w:bCs/>
        </w:rPr>
        <w:t>nhanced community engagement provisions</w:t>
      </w:r>
      <w:r w:rsidR="004C6FC7">
        <w:rPr>
          <w:rFonts w:cs="Times New Roman"/>
          <w:b/>
          <w:bCs/>
        </w:rPr>
        <w:t xml:space="preserve">. </w:t>
      </w:r>
      <w:r w:rsidR="00B02714" w:rsidRPr="003F6438">
        <w:rPr>
          <w:rFonts w:cs="Times New Roman"/>
          <w:szCs w:val="24"/>
        </w:rPr>
        <w:t xml:space="preserve">We are very pleased that the proposed rule requires program participants </w:t>
      </w:r>
      <w:r w:rsidR="004C6FC7">
        <w:rPr>
          <w:rFonts w:cs="Times New Roman"/>
        </w:rPr>
        <w:t>[</w:t>
      </w:r>
      <w:r w:rsidR="004C6FC7" w:rsidRPr="003C2FC1">
        <w:rPr>
          <w:rFonts w:ascii="Arial" w:hAnsi="Arial" w:cs="Arial"/>
          <w:i/>
          <w:iCs/>
        </w:rPr>
        <w:t>that is the name in the rule for state and local governments as well as public housing agencies</w:t>
      </w:r>
      <w:r w:rsidR="004C6FC7">
        <w:rPr>
          <w:rFonts w:cs="Times New Roman"/>
        </w:rPr>
        <w:t>]</w:t>
      </w:r>
      <w:r w:rsidR="004C6FC7" w:rsidRPr="003F6438">
        <w:rPr>
          <w:rFonts w:cs="Times New Roman"/>
        </w:rPr>
        <w:t xml:space="preserve"> </w:t>
      </w:r>
      <w:r w:rsidR="00B02714" w:rsidRPr="003F6438">
        <w:rPr>
          <w:rFonts w:cs="Times New Roman"/>
          <w:szCs w:val="24"/>
        </w:rPr>
        <w:t>to hold at least three public “meetings” during the development of a fair housing Equity Plan, plus two more public meetings each year to obtain public input regarding a program participant</w:t>
      </w:r>
      <w:r w:rsidRPr="00C96A2C">
        <w:rPr>
          <w:rFonts w:cs="Times New Roman"/>
          <w:szCs w:val="24"/>
        </w:rPr>
        <w:t>’s progress</w:t>
      </w:r>
      <w:r w:rsidR="00B02714" w:rsidRPr="00C96A2C">
        <w:rPr>
          <w:rFonts w:cs="Times New Roman"/>
          <w:szCs w:val="24"/>
        </w:rPr>
        <w:t xml:space="preserve"> </w:t>
      </w:r>
      <w:r w:rsidR="00B02714" w:rsidRPr="003F6438">
        <w:rPr>
          <w:rFonts w:cs="Times New Roman"/>
          <w:szCs w:val="24"/>
        </w:rPr>
        <w:t xml:space="preserve">toward meeting its fair housing goals from the previous year. </w:t>
      </w:r>
      <w:r w:rsidR="004C6FC7">
        <w:rPr>
          <w:rFonts w:cs="Times New Roman"/>
          <w:szCs w:val="24"/>
        </w:rPr>
        <w:t xml:space="preserve">We </w:t>
      </w:r>
      <w:r w:rsidR="00B02714" w:rsidRPr="003F6438">
        <w:rPr>
          <w:rFonts w:cs="Times New Roman"/>
          <w:szCs w:val="24"/>
        </w:rPr>
        <w:t xml:space="preserve">appreciate </w:t>
      </w:r>
      <w:r w:rsidR="004C6FC7">
        <w:rPr>
          <w:rFonts w:cs="Times New Roman"/>
          <w:szCs w:val="24"/>
        </w:rPr>
        <w:t>use of</w:t>
      </w:r>
      <w:r w:rsidR="00B02714" w:rsidRPr="003F6438">
        <w:rPr>
          <w:rFonts w:cs="Times New Roman"/>
          <w:szCs w:val="24"/>
        </w:rPr>
        <w:t xml:space="preserve"> “meetings” instead of “hearings” because meetings, being less formal and more flexible than official hearings, should enable greater participation by people the Fair Housing Act intends to serve, the “protected classes</w:t>
      </w:r>
      <w:r w:rsidR="004C6FC7">
        <w:rPr>
          <w:rFonts w:cs="Times New Roman"/>
          <w:szCs w:val="24"/>
        </w:rPr>
        <w:t>.</w:t>
      </w:r>
      <w:r w:rsidR="00B02714" w:rsidRPr="003F6438">
        <w:rPr>
          <w:rFonts w:cs="Times New Roman"/>
          <w:szCs w:val="24"/>
        </w:rPr>
        <w:t xml:space="preserve">” </w:t>
      </w:r>
      <w:r w:rsidR="004C6FC7">
        <w:rPr>
          <w:rFonts w:cs="Times New Roman"/>
          <w:szCs w:val="24"/>
        </w:rPr>
        <w:t>[</w:t>
      </w:r>
      <w:r w:rsidR="004C6FC7" w:rsidRPr="003C2FC1">
        <w:rPr>
          <w:rFonts w:ascii="Arial" w:hAnsi="Arial" w:cs="Arial"/>
          <w:i/>
          <w:iCs/>
          <w:szCs w:val="24"/>
        </w:rPr>
        <w:t xml:space="preserve">The FHA protected classes are </w:t>
      </w:r>
      <w:r w:rsidR="00B02714" w:rsidRPr="003C2FC1">
        <w:rPr>
          <w:rFonts w:ascii="Arial" w:hAnsi="Arial" w:cs="Arial"/>
          <w:i/>
          <w:iCs/>
          <w:szCs w:val="24"/>
        </w:rPr>
        <w:t>race, color, national origin, sex, disability, familial status (in other words households with children), and religion</w:t>
      </w:r>
      <w:r w:rsidR="00B02714" w:rsidRPr="003F6438">
        <w:rPr>
          <w:rFonts w:cs="Times New Roman"/>
          <w:szCs w:val="24"/>
        </w:rPr>
        <w:t>.</w:t>
      </w:r>
      <w:r w:rsidR="004C6FC7">
        <w:rPr>
          <w:rFonts w:cs="Times New Roman"/>
          <w:szCs w:val="24"/>
        </w:rPr>
        <w:t>]</w:t>
      </w:r>
      <w:r w:rsidR="00564482" w:rsidRPr="003F6438">
        <w:rPr>
          <w:rFonts w:cs="Times New Roman"/>
          <w:szCs w:val="24"/>
        </w:rPr>
        <w:t xml:space="preserve"> As urged by advocates, these meetings </w:t>
      </w:r>
      <w:r w:rsidR="004C6FC7">
        <w:rPr>
          <w:rFonts w:cs="Times New Roman"/>
          <w:szCs w:val="24"/>
        </w:rPr>
        <w:t xml:space="preserve">must </w:t>
      </w:r>
      <w:r w:rsidR="00564482" w:rsidRPr="003F6438">
        <w:rPr>
          <w:rFonts w:cs="Times New Roman"/>
          <w:szCs w:val="24"/>
        </w:rPr>
        <w:t>be held at “various accessible locations and at different times to ensure” protected class groups</w:t>
      </w:r>
      <w:r w:rsidR="004C6FC7">
        <w:rPr>
          <w:rFonts w:cs="Times New Roman"/>
          <w:szCs w:val="24"/>
        </w:rPr>
        <w:t>,</w:t>
      </w:r>
      <w:r w:rsidR="00564482" w:rsidRPr="003F6438">
        <w:rPr>
          <w:rFonts w:cs="Times New Roman"/>
          <w:szCs w:val="24"/>
        </w:rPr>
        <w:t xml:space="preserve"> and in particular “underserved </w:t>
      </w:r>
      <w:r w:rsidR="00564482" w:rsidRPr="003F6438">
        <w:rPr>
          <w:rFonts w:cs="Times New Roman"/>
          <w:szCs w:val="24"/>
        </w:rPr>
        <w:lastRenderedPageBreak/>
        <w:t>communities</w:t>
      </w:r>
      <w:r w:rsidR="004C6FC7">
        <w:rPr>
          <w:rFonts w:cs="Times New Roman"/>
          <w:szCs w:val="24"/>
        </w:rPr>
        <w:t>,</w:t>
      </w:r>
      <w:r w:rsidR="00564482" w:rsidRPr="003F6438">
        <w:rPr>
          <w:rFonts w:cs="Times New Roman"/>
          <w:szCs w:val="24"/>
        </w:rPr>
        <w:t xml:space="preserve">” have greater opportunities for input. The introduction of “underserved communities” is welcome because it helps to refine segments of </w:t>
      </w:r>
      <w:r w:rsidR="00FA2F62">
        <w:rPr>
          <w:rFonts w:cs="Times New Roman"/>
          <w:szCs w:val="24"/>
        </w:rPr>
        <w:t xml:space="preserve">people in the </w:t>
      </w:r>
      <w:r w:rsidR="00564482" w:rsidRPr="003F6438">
        <w:rPr>
          <w:rFonts w:cs="Times New Roman"/>
          <w:szCs w:val="24"/>
        </w:rPr>
        <w:t>protected class</w:t>
      </w:r>
      <w:r w:rsidR="00FA2F62">
        <w:rPr>
          <w:rFonts w:cs="Times New Roman"/>
          <w:szCs w:val="24"/>
        </w:rPr>
        <w:t>es</w:t>
      </w:r>
      <w:r w:rsidR="00564482" w:rsidRPr="003F6438">
        <w:rPr>
          <w:rFonts w:cs="Times New Roman"/>
          <w:szCs w:val="24"/>
        </w:rPr>
        <w:t xml:space="preserve"> who often most encounter fair housing obstacles, such as people experiencing homelessness, people with criminal records, survivors of domestic violence, and people in the LGBTQI+ community.</w:t>
      </w:r>
    </w:p>
    <w:p w14:paraId="7007074C" w14:textId="77777777" w:rsidR="004C6FC7" w:rsidRPr="00D52CD9" w:rsidRDefault="004C6FC7" w:rsidP="004C6FC7">
      <w:pPr>
        <w:pStyle w:val="ListParagraph"/>
        <w:ind w:left="360"/>
        <w:rPr>
          <w:rFonts w:cs="Times New Roman"/>
        </w:rPr>
      </w:pPr>
    </w:p>
    <w:p w14:paraId="0C1D1DBE" w14:textId="5606721B" w:rsidR="00321BEE" w:rsidRDefault="00D52CD9" w:rsidP="00321BEE">
      <w:pPr>
        <w:pStyle w:val="ListParagraph"/>
        <w:numPr>
          <w:ilvl w:val="0"/>
          <w:numId w:val="1"/>
        </w:numPr>
        <w:rPr>
          <w:rFonts w:cs="Times New Roman"/>
        </w:rPr>
      </w:pPr>
      <w:r w:rsidRPr="00D52CD9">
        <w:rPr>
          <w:rFonts w:cs="Times New Roman"/>
          <w:b/>
          <w:bCs/>
          <w:szCs w:val="24"/>
        </w:rPr>
        <w:t xml:space="preserve">Greater </w:t>
      </w:r>
      <w:r>
        <w:rPr>
          <w:rFonts w:cs="Times New Roman"/>
          <w:b/>
          <w:bCs/>
          <w:szCs w:val="24"/>
        </w:rPr>
        <w:t>p</w:t>
      </w:r>
      <w:r w:rsidRPr="00D52CD9">
        <w:rPr>
          <w:rFonts w:cs="Times New Roman"/>
          <w:b/>
          <w:bCs/>
          <w:szCs w:val="24"/>
        </w:rPr>
        <w:t xml:space="preserve">ublic </w:t>
      </w:r>
      <w:r>
        <w:rPr>
          <w:rFonts w:cs="Times New Roman"/>
          <w:b/>
          <w:bCs/>
          <w:szCs w:val="24"/>
        </w:rPr>
        <w:t>t</w:t>
      </w:r>
      <w:r w:rsidRPr="00D52CD9">
        <w:rPr>
          <w:rFonts w:cs="Times New Roman"/>
          <w:b/>
          <w:bCs/>
          <w:szCs w:val="24"/>
        </w:rPr>
        <w:t>ransparency</w:t>
      </w:r>
      <w:r w:rsidR="00885A6A">
        <w:rPr>
          <w:rFonts w:cs="Times New Roman"/>
          <w:b/>
          <w:bCs/>
          <w:szCs w:val="24"/>
        </w:rPr>
        <w:t xml:space="preserve">. </w:t>
      </w:r>
      <w:r w:rsidR="00885A6A" w:rsidRPr="00885A6A">
        <w:rPr>
          <w:rFonts w:cs="Times New Roman"/>
          <w:szCs w:val="24"/>
        </w:rPr>
        <w:t>We</w:t>
      </w:r>
      <w:r w:rsidR="00885A6A">
        <w:rPr>
          <w:rFonts w:cs="Times New Roman"/>
          <w:szCs w:val="24"/>
        </w:rPr>
        <w:t xml:space="preserve"> endorse</w:t>
      </w:r>
      <w:r w:rsidRPr="00D52CD9">
        <w:rPr>
          <w:rFonts w:cs="Times New Roman"/>
          <w:szCs w:val="24"/>
        </w:rPr>
        <w:t xml:space="preserve"> requiring</w:t>
      </w:r>
      <w:r>
        <w:rPr>
          <w:rFonts w:cs="Times New Roman"/>
          <w:szCs w:val="24"/>
        </w:rPr>
        <w:t xml:space="preserve"> </w:t>
      </w:r>
      <w:r w:rsidR="00321BEE">
        <w:rPr>
          <w:rFonts w:cs="Times New Roman"/>
          <w:szCs w:val="24"/>
        </w:rPr>
        <w:t xml:space="preserve">HUD </w:t>
      </w:r>
      <w:r>
        <w:rPr>
          <w:rFonts w:cs="Times New Roman"/>
          <w:szCs w:val="24"/>
        </w:rPr>
        <w:t xml:space="preserve">to </w:t>
      </w:r>
      <w:r w:rsidRPr="00321BEE">
        <w:rPr>
          <w:rFonts w:cs="Times New Roman"/>
        </w:rPr>
        <w:t>post on a HUD-maintained website, submitted Equity Plans</w:t>
      </w:r>
      <w:r w:rsidR="00885A6A">
        <w:rPr>
          <w:rFonts w:cs="Times New Roman"/>
        </w:rPr>
        <w:t>,</w:t>
      </w:r>
      <w:r w:rsidRPr="00321BEE">
        <w:rPr>
          <w:rFonts w:cs="Times New Roman"/>
        </w:rPr>
        <w:t xml:space="preserve"> Annual Progress Evaluations, </w:t>
      </w:r>
      <w:r w:rsidR="00885A6A">
        <w:rPr>
          <w:rFonts w:cs="Times New Roman"/>
        </w:rPr>
        <w:t xml:space="preserve">and </w:t>
      </w:r>
      <w:r w:rsidR="00321BEE">
        <w:rPr>
          <w:rFonts w:cs="Times New Roman"/>
        </w:rPr>
        <w:t xml:space="preserve">relevant communications between </w:t>
      </w:r>
      <w:r w:rsidRPr="00321BEE">
        <w:rPr>
          <w:rFonts w:cs="Times New Roman"/>
        </w:rPr>
        <w:t>HUD</w:t>
      </w:r>
      <w:r w:rsidR="00321BEE">
        <w:rPr>
          <w:rFonts w:cs="Times New Roman"/>
        </w:rPr>
        <w:t xml:space="preserve"> and program participants. </w:t>
      </w:r>
      <w:r w:rsidR="00885A6A">
        <w:rPr>
          <w:rFonts w:cs="Times New Roman"/>
        </w:rPr>
        <w:t xml:space="preserve">We are pleased that </w:t>
      </w:r>
      <w:r w:rsidR="00321BEE">
        <w:rPr>
          <w:rFonts w:cs="Times New Roman"/>
        </w:rPr>
        <w:t xml:space="preserve">once an Equity Plan is submitted to HUD for review, the public </w:t>
      </w:r>
      <w:r w:rsidR="00CB6530">
        <w:rPr>
          <w:rFonts w:cs="Times New Roman"/>
        </w:rPr>
        <w:t xml:space="preserve">would be able </w:t>
      </w:r>
      <w:r w:rsidR="00321BEE">
        <w:rPr>
          <w:rFonts w:cs="Times New Roman"/>
        </w:rPr>
        <w:t xml:space="preserve">to </w:t>
      </w:r>
      <w:r w:rsidR="00321BEE" w:rsidRPr="00321BEE">
        <w:rPr>
          <w:rFonts w:cs="Times New Roman"/>
        </w:rPr>
        <w:t>directly provide HUD</w:t>
      </w:r>
      <w:r w:rsidR="00321BEE">
        <w:rPr>
          <w:rFonts w:cs="Times New Roman"/>
        </w:rPr>
        <w:t xml:space="preserve"> </w:t>
      </w:r>
      <w:r w:rsidR="00321BEE" w:rsidRPr="00321BEE">
        <w:rPr>
          <w:rFonts w:cs="Times New Roman"/>
        </w:rPr>
        <w:t>information</w:t>
      </w:r>
      <w:r w:rsidR="00321BEE">
        <w:rPr>
          <w:rFonts w:cs="Times New Roman"/>
        </w:rPr>
        <w:t xml:space="preserve"> concerning whether an Equity Plan was developed in compliance with the community engagement provisions and other </w:t>
      </w:r>
      <w:r w:rsidR="00CB6530">
        <w:rPr>
          <w:rFonts w:cs="Times New Roman"/>
        </w:rPr>
        <w:t xml:space="preserve">AFFH rule </w:t>
      </w:r>
      <w:r w:rsidR="00321BEE">
        <w:rPr>
          <w:rFonts w:cs="Times New Roman"/>
        </w:rPr>
        <w:t>requirements.</w:t>
      </w:r>
    </w:p>
    <w:p w14:paraId="3877AE91" w14:textId="77777777" w:rsidR="00885A6A" w:rsidRPr="00885A6A" w:rsidRDefault="00885A6A" w:rsidP="00885A6A">
      <w:pPr>
        <w:rPr>
          <w:rFonts w:cs="Times New Roman"/>
        </w:rPr>
      </w:pPr>
    </w:p>
    <w:p w14:paraId="6B4B2E8D" w14:textId="6729C00D" w:rsidR="00885A6A" w:rsidRPr="00FA2F62" w:rsidRDefault="003C1DF1" w:rsidP="007033FA">
      <w:pPr>
        <w:pStyle w:val="ListParagraph"/>
        <w:numPr>
          <w:ilvl w:val="0"/>
          <w:numId w:val="1"/>
        </w:numPr>
        <w:rPr>
          <w:rFonts w:cs="Times New Roman"/>
        </w:rPr>
      </w:pPr>
      <w:r w:rsidRPr="00FA2F62">
        <w:rPr>
          <w:rFonts w:cs="Times New Roman"/>
          <w:b/>
          <w:bCs/>
        </w:rPr>
        <w:t>Public complaint process</w:t>
      </w:r>
      <w:r w:rsidR="0029726F" w:rsidRPr="00FA2F62">
        <w:rPr>
          <w:rFonts w:cs="Times New Roman"/>
          <w:b/>
          <w:bCs/>
        </w:rPr>
        <w:t>.</w:t>
      </w:r>
      <w:r w:rsidRPr="00FA2F62">
        <w:rPr>
          <w:rFonts w:cs="Times New Roman"/>
        </w:rPr>
        <w:t xml:space="preserve"> </w:t>
      </w:r>
      <w:r w:rsidR="0029726F" w:rsidRPr="00FA2F62">
        <w:rPr>
          <w:rFonts w:cs="Times New Roman"/>
        </w:rPr>
        <w:t xml:space="preserve">We are very pleased that the rule would </w:t>
      </w:r>
      <w:r w:rsidRPr="00FA2F62">
        <w:rPr>
          <w:rFonts w:cs="Times New Roman"/>
        </w:rPr>
        <w:t>enabl</w:t>
      </w:r>
      <w:r w:rsidR="0029726F" w:rsidRPr="00FA2F62">
        <w:rPr>
          <w:rFonts w:cs="Times New Roman"/>
        </w:rPr>
        <w:t>e</w:t>
      </w:r>
      <w:r w:rsidRPr="00FA2F62">
        <w:rPr>
          <w:rFonts w:cs="Times New Roman"/>
        </w:rPr>
        <w:t xml:space="preserve"> the public to directly</w:t>
      </w:r>
      <w:r w:rsidR="0029726F" w:rsidRPr="00FA2F62">
        <w:rPr>
          <w:rFonts w:cs="Times New Roman"/>
        </w:rPr>
        <w:t xml:space="preserve"> submit complaints</w:t>
      </w:r>
      <w:r w:rsidRPr="00FA2F62">
        <w:rPr>
          <w:rFonts w:cs="Times New Roman"/>
        </w:rPr>
        <w:t xml:space="preserve"> to HUD regarding allegations that a program participant </w:t>
      </w:r>
      <w:r w:rsidR="0029726F" w:rsidRPr="00FA2F62">
        <w:rPr>
          <w:rFonts w:cs="Times New Roman"/>
        </w:rPr>
        <w:t xml:space="preserve">is failing </w:t>
      </w:r>
      <w:r w:rsidRPr="00FA2F62">
        <w:rPr>
          <w:rFonts w:cs="Times New Roman"/>
        </w:rPr>
        <w:t>to comply with the AFFH regulations</w:t>
      </w:r>
      <w:r w:rsidR="0029726F" w:rsidRPr="00FA2F62">
        <w:rPr>
          <w:rFonts w:cs="Times New Roman"/>
        </w:rPr>
        <w:t xml:space="preserve"> and that HUD would be obliged to process complaints and open a compliance review if warranted. </w:t>
      </w:r>
    </w:p>
    <w:p w14:paraId="47B98DAF" w14:textId="77777777" w:rsidR="00FA2F62" w:rsidRPr="00FA2F62" w:rsidRDefault="00FA2F62" w:rsidP="00FA2F62">
      <w:pPr>
        <w:rPr>
          <w:rFonts w:cs="Times New Roman"/>
        </w:rPr>
      </w:pPr>
    </w:p>
    <w:p w14:paraId="56CC1868" w14:textId="56893503" w:rsidR="00E50E8B" w:rsidRPr="00885A6A" w:rsidRDefault="00E50E8B" w:rsidP="00E50E8B">
      <w:pPr>
        <w:pStyle w:val="ListParagraph"/>
        <w:numPr>
          <w:ilvl w:val="0"/>
          <w:numId w:val="1"/>
        </w:numPr>
        <w:autoSpaceDE w:val="0"/>
        <w:autoSpaceDN w:val="0"/>
        <w:adjustRightInd w:val="0"/>
        <w:rPr>
          <w:rFonts w:cs="Times New Roman"/>
          <w:b/>
          <w:bCs/>
          <w:szCs w:val="24"/>
        </w:rPr>
      </w:pPr>
      <w:r>
        <w:rPr>
          <w:rFonts w:cs="Times New Roman"/>
          <w:b/>
          <w:bCs/>
          <w:szCs w:val="24"/>
        </w:rPr>
        <w:t>A s</w:t>
      </w:r>
      <w:r w:rsidR="00F30E02" w:rsidRPr="00F30E02">
        <w:rPr>
          <w:rFonts w:cs="Times New Roman"/>
          <w:b/>
          <w:bCs/>
          <w:szCs w:val="24"/>
        </w:rPr>
        <w:t xml:space="preserve">tronger </w:t>
      </w:r>
      <w:r>
        <w:rPr>
          <w:rFonts w:cs="Times New Roman"/>
          <w:b/>
          <w:bCs/>
          <w:szCs w:val="24"/>
        </w:rPr>
        <w:t>l</w:t>
      </w:r>
      <w:r w:rsidR="00F30E02" w:rsidRPr="00F30E02">
        <w:rPr>
          <w:rFonts w:cs="Times New Roman"/>
          <w:b/>
          <w:bCs/>
          <w:szCs w:val="24"/>
        </w:rPr>
        <w:t xml:space="preserve">ink </w:t>
      </w:r>
      <w:r>
        <w:rPr>
          <w:rFonts w:cs="Times New Roman"/>
          <w:b/>
          <w:bCs/>
          <w:szCs w:val="24"/>
        </w:rPr>
        <w:t>b</w:t>
      </w:r>
      <w:r w:rsidR="00F30E02" w:rsidRPr="00F30E02">
        <w:rPr>
          <w:rFonts w:cs="Times New Roman"/>
          <w:b/>
          <w:bCs/>
          <w:szCs w:val="24"/>
        </w:rPr>
        <w:t xml:space="preserve">etween </w:t>
      </w:r>
      <w:r>
        <w:rPr>
          <w:rFonts w:cs="Times New Roman"/>
          <w:b/>
          <w:bCs/>
          <w:szCs w:val="24"/>
        </w:rPr>
        <w:t>E</w:t>
      </w:r>
      <w:r w:rsidR="00F30E02" w:rsidRPr="00F30E02">
        <w:rPr>
          <w:rFonts w:cs="Times New Roman"/>
          <w:b/>
          <w:bCs/>
          <w:szCs w:val="24"/>
        </w:rPr>
        <w:t xml:space="preserve">quity </w:t>
      </w:r>
      <w:r>
        <w:rPr>
          <w:rFonts w:cs="Times New Roman"/>
          <w:b/>
          <w:bCs/>
          <w:szCs w:val="24"/>
        </w:rPr>
        <w:t>P</w:t>
      </w:r>
      <w:r w:rsidR="00F30E02" w:rsidRPr="00F30E02">
        <w:rPr>
          <w:rFonts w:cs="Times New Roman"/>
          <w:b/>
          <w:bCs/>
          <w:szCs w:val="24"/>
        </w:rPr>
        <w:t xml:space="preserve">lan </w:t>
      </w:r>
      <w:r>
        <w:rPr>
          <w:rFonts w:cs="Times New Roman"/>
          <w:b/>
          <w:bCs/>
          <w:szCs w:val="24"/>
        </w:rPr>
        <w:t>g</w:t>
      </w:r>
      <w:r w:rsidR="00F30E02" w:rsidRPr="00F30E02">
        <w:rPr>
          <w:rFonts w:cs="Times New Roman"/>
          <w:b/>
          <w:bCs/>
          <w:szCs w:val="24"/>
        </w:rPr>
        <w:t xml:space="preserve">oals and </w:t>
      </w:r>
      <w:r>
        <w:rPr>
          <w:rFonts w:cs="Times New Roman"/>
          <w:b/>
          <w:bCs/>
          <w:szCs w:val="24"/>
        </w:rPr>
        <w:t>C</w:t>
      </w:r>
      <w:r w:rsidR="00F30E02" w:rsidRPr="00F30E02">
        <w:rPr>
          <w:rFonts w:cs="Times New Roman"/>
          <w:b/>
          <w:bCs/>
          <w:szCs w:val="24"/>
        </w:rPr>
        <w:t>on</w:t>
      </w:r>
      <w:r>
        <w:rPr>
          <w:rFonts w:cs="Times New Roman"/>
          <w:b/>
          <w:bCs/>
          <w:szCs w:val="24"/>
        </w:rPr>
        <w:t>solidated P</w:t>
      </w:r>
      <w:r w:rsidR="00F30E02" w:rsidRPr="00F30E02">
        <w:rPr>
          <w:rFonts w:cs="Times New Roman"/>
          <w:b/>
          <w:bCs/>
          <w:szCs w:val="24"/>
        </w:rPr>
        <w:t>lan</w:t>
      </w:r>
      <w:r>
        <w:rPr>
          <w:rFonts w:cs="Times New Roman"/>
          <w:b/>
          <w:bCs/>
          <w:szCs w:val="24"/>
        </w:rPr>
        <w:t>s</w:t>
      </w:r>
      <w:r w:rsidR="00F30E02" w:rsidRPr="00F30E02">
        <w:rPr>
          <w:rFonts w:cs="Times New Roman"/>
          <w:b/>
          <w:bCs/>
          <w:szCs w:val="24"/>
        </w:rPr>
        <w:t xml:space="preserve"> and PHA Plan</w:t>
      </w:r>
      <w:r>
        <w:rPr>
          <w:rFonts w:cs="Times New Roman"/>
          <w:b/>
          <w:bCs/>
          <w:szCs w:val="24"/>
        </w:rPr>
        <w:t>s</w:t>
      </w:r>
      <w:r w:rsidR="0029726F">
        <w:rPr>
          <w:rFonts w:cs="Times New Roman"/>
          <w:b/>
          <w:bCs/>
          <w:szCs w:val="24"/>
        </w:rPr>
        <w:t xml:space="preserve">. </w:t>
      </w:r>
      <w:r w:rsidR="0029726F" w:rsidRPr="0029726F">
        <w:rPr>
          <w:rFonts w:cs="Times New Roman"/>
          <w:szCs w:val="24"/>
        </w:rPr>
        <w:t xml:space="preserve">More </w:t>
      </w:r>
      <w:r w:rsidR="0029726F">
        <w:rPr>
          <w:rFonts w:cs="Times New Roman"/>
          <w:szCs w:val="24"/>
        </w:rPr>
        <w:t>directly requiring an Equity Plan’s fair housing goals to be incorporated in ConPlans and PHA Plans</w:t>
      </w:r>
      <w:r>
        <w:rPr>
          <w:rFonts w:cs="Times New Roman"/>
          <w:szCs w:val="24"/>
        </w:rPr>
        <w:t xml:space="preserve"> will </w:t>
      </w:r>
      <w:r w:rsidRPr="00E50E8B">
        <w:rPr>
          <w:rFonts w:cs="Times New Roman"/>
          <w:szCs w:val="24"/>
        </w:rPr>
        <w:t xml:space="preserve">better ensure that a program participant’s programs, activities, and services, </w:t>
      </w:r>
      <w:r>
        <w:rPr>
          <w:rFonts w:cs="Times New Roman"/>
          <w:szCs w:val="24"/>
        </w:rPr>
        <w:t xml:space="preserve">along with </w:t>
      </w:r>
      <w:r w:rsidRPr="00E50E8B">
        <w:rPr>
          <w:rFonts w:cs="Times New Roman"/>
          <w:szCs w:val="24"/>
        </w:rPr>
        <w:t xml:space="preserve">HUD and other federal, state, and local funds </w:t>
      </w:r>
      <w:r w:rsidR="00904630">
        <w:rPr>
          <w:rFonts w:cs="Times New Roman"/>
          <w:szCs w:val="24"/>
        </w:rPr>
        <w:t>used to implement</w:t>
      </w:r>
      <w:r w:rsidRPr="00E50E8B">
        <w:rPr>
          <w:rFonts w:cs="Times New Roman"/>
          <w:szCs w:val="24"/>
        </w:rPr>
        <w:t xml:space="preserve"> them, are consistent with the obligation to affirmatively furthering fair housing.</w:t>
      </w:r>
    </w:p>
    <w:p w14:paraId="1B3C95E3" w14:textId="77777777" w:rsidR="00885A6A" w:rsidRPr="00885A6A" w:rsidRDefault="00885A6A" w:rsidP="00885A6A">
      <w:pPr>
        <w:autoSpaceDE w:val="0"/>
        <w:autoSpaceDN w:val="0"/>
        <w:adjustRightInd w:val="0"/>
        <w:rPr>
          <w:rFonts w:cs="Times New Roman"/>
          <w:b/>
          <w:bCs/>
          <w:szCs w:val="24"/>
        </w:rPr>
      </w:pPr>
    </w:p>
    <w:p w14:paraId="0AE46DBD" w14:textId="7325EB38" w:rsidR="00E50E8B" w:rsidRPr="00885A6A" w:rsidRDefault="00062FEB" w:rsidP="00E50E8B">
      <w:pPr>
        <w:pStyle w:val="ListParagraph"/>
        <w:numPr>
          <w:ilvl w:val="0"/>
          <w:numId w:val="1"/>
        </w:numPr>
        <w:rPr>
          <w:rFonts w:cs="Times New Roman"/>
          <w:b/>
          <w:bCs/>
          <w:szCs w:val="24"/>
        </w:rPr>
      </w:pPr>
      <w:r>
        <w:rPr>
          <w:rFonts w:cs="Times New Roman"/>
          <w:b/>
          <w:bCs/>
          <w:szCs w:val="24"/>
        </w:rPr>
        <w:t>An a</w:t>
      </w:r>
      <w:r w:rsidR="00E50E8B" w:rsidRPr="00E50E8B">
        <w:rPr>
          <w:rFonts w:cs="Times New Roman"/>
          <w:b/>
          <w:bCs/>
          <w:szCs w:val="24"/>
        </w:rPr>
        <w:t xml:space="preserve">nnual </w:t>
      </w:r>
      <w:r w:rsidR="00E50E8B">
        <w:rPr>
          <w:rFonts w:cs="Times New Roman"/>
          <w:b/>
          <w:bCs/>
          <w:szCs w:val="24"/>
        </w:rPr>
        <w:t>e</w:t>
      </w:r>
      <w:r w:rsidR="00E50E8B" w:rsidRPr="00E50E8B">
        <w:rPr>
          <w:rFonts w:cs="Times New Roman"/>
          <w:b/>
          <w:bCs/>
          <w:szCs w:val="24"/>
        </w:rPr>
        <w:t xml:space="preserve">valuation of </w:t>
      </w:r>
      <w:r w:rsidR="00E50E8B">
        <w:rPr>
          <w:rFonts w:cs="Times New Roman"/>
          <w:b/>
          <w:bCs/>
          <w:szCs w:val="24"/>
        </w:rPr>
        <w:t>p</w:t>
      </w:r>
      <w:r w:rsidR="00E50E8B" w:rsidRPr="00E50E8B">
        <w:rPr>
          <w:rFonts w:cs="Times New Roman"/>
          <w:b/>
          <w:bCs/>
          <w:szCs w:val="24"/>
        </w:rPr>
        <w:t xml:space="preserve">rogress </w:t>
      </w:r>
      <w:r w:rsidR="00E50E8B">
        <w:rPr>
          <w:rFonts w:cs="Times New Roman"/>
          <w:b/>
          <w:bCs/>
          <w:szCs w:val="24"/>
        </w:rPr>
        <w:t>t</w:t>
      </w:r>
      <w:r w:rsidR="00E50E8B" w:rsidRPr="00E50E8B">
        <w:rPr>
          <w:rFonts w:cs="Times New Roman"/>
          <w:b/>
          <w:bCs/>
          <w:szCs w:val="24"/>
        </w:rPr>
        <w:t xml:space="preserve">oward </w:t>
      </w:r>
      <w:r w:rsidR="00E50E8B">
        <w:rPr>
          <w:rFonts w:cs="Times New Roman"/>
          <w:b/>
          <w:bCs/>
          <w:szCs w:val="24"/>
        </w:rPr>
        <w:t>a</w:t>
      </w:r>
      <w:r w:rsidR="00E50E8B" w:rsidRPr="00E50E8B">
        <w:rPr>
          <w:rFonts w:cs="Times New Roman"/>
          <w:b/>
          <w:bCs/>
          <w:szCs w:val="24"/>
        </w:rPr>
        <w:t xml:space="preserve">chieving </w:t>
      </w:r>
      <w:r w:rsidR="00E50E8B">
        <w:rPr>
          <w:rFonts w:cs="Times New Roman"/>
          <w:b/>
          <w:bCs/>
          <w:szCs w:val="24"/>
        </w:rPr>
        <w:t>f</w:t>
      </w:r>
      <w:r w:rsidR="00E50E8B" w:rsidRPr="00E50E8B">
        <w:rPr>
          <w:rFonts w:cs="Times New Roman"/>
          <w:b/>
          <w:bCs/>
          <w:szCs w:val="24"/>
        </w:rPr>
        <w:t xml:space="preserve">air </w:t>
      </w:r>
      <w:r w:rsidR="00E50E8B">
        <w:rPr>
          <w:rFonts w:cs="Times New Roman"/>
          <w:b/>
          <w:bCs/>
          <w:szCs w:val="24"/>
        </w:rPr>
        <w:t>h</w:t>
      </w:r>
      <w:r w:rsidR="00E50E8B" w:rsidRPr="00E50E8B">
        <w:rPr>
          <w:rFonts w:cs="Times New Roman"/>
          <w:b/>
          <w:bCs/>
          <w:szCs w:val="24"/>
        </w:rPr>
        <w:t xml:space="preserve">ousing </w:t>
      </w:r>
      <w:r w:rsidR="00E50E8B">
        <w:rPr>
          <w:rFonts w:cs="Times New Roman"/>
          <w:b/>
          <w:bCs/>
          <w:szCs w:val="24"/>
        </w:rPr>
        <w:t>g</w:t>
      </w:r>
      <w:r w:rsidR="00E50E8B" w:rsidRPr="00E50E8B">
        <w:rPr>
          <w:rFonts w:cs="Times New Roman"/>
          <w:b/>
          <w:bCs/>
          <w:szCs w:val="24"/>
        </w:rPr>
        <w:t>oals</w:t>
      </w:r>
      <w:r w:rsidR="00CF1E5A">
        <w:rPr>
          <w:rFonts w:cs="Times New Roman"/>
          <w:b/>
          <w:bCs/>
          <w:szCs w:val="24"/>
        </w:rPr>
        <w:t>.</w:t>
      </w:r>
      <w:r>
        <w:rPr>
          <w:rFonts w:cs="Times New Roman"/>
          <w:szCs w:val="24"/>
        </w:rPr>
        <w:t xml:space="preserve"> </w:t>
      </w:r>
      <w:r w:rsidR="00CF1E5A">
        <w:rPr>
          <w:rFonts w:cs="Times New Roman"/>
          <w:szCs w:val="24"/>
        </w:rPr>
        <w:t xml:space="preserve">Requiring </w:t>
      </w:r>
      <w:r>
        <w:rPr>
          <w:rFonts w:cs="Times New Roman"/>
          <w:szCs w:val="24"/>
        </w:rPr>
        <w:t xml:space="preserve">at least two annual meetings to obtain public input regarding a program participant’s performance toward achieving its fair housing goals can </w:t>
      </w:r>
      <w:r w:rsidR="009B6A69">
        <w:rPr>
          <w:rFonts w:cs="Times New Roman"/>
          <w:szCs w:val="24"/>
        </w:rPr>
        <w:t xml:space="preserve">foster </w:t>
      </w:r>
      <w:r>
        <w:rPr>
          <w:rFonts w:cs="Times New Roman"/>
          <w:szCs w:val="24"/>
        </w:rPr>
        <w:t>any necessary corrections in the upcoming year.</w:t>
      </w:r>
    </w:p>
    <w:p w14:paraId="0367B333" w14:textId="77777777" w:rsidR="00885A6A" w:rsidRPr="00885A6A" w:rsidRDefault="00885A6A" w:rsidP="00885A6A">
      <w:pPr>
        <w:rPr>
          <w:rFonts w:cs="Times New Roman"/>
          <w:b/>
          <w:bCs/>
          <w:szCs w:val="24"/>
        </w:rPr>
      </w:pPr>
    </w:p>
    <w:p w14:paraId="55E5E8D3" w14:textId="6B4C0E0C" w:rsidR="009B6A69" w:rsidRPr="00437EEF" w:rsidRDefault="00783B74" w:rsidP="009B6A69">
      <w:pPr>
        <w:pStyle w:val="ListParagraph"/>
        <w:numPr>
          <w:ilvl w:val="0"/>
          <w:numId w:val="1"/>
        </w:numPr>
        <w:rPr>
          <w:rFonts w:cs="Times New Roman"/>
          <w:b/>
          <w:bCs/>
          <w:szCs w:val="24"/>
        </w:rPr>
      </w:pPr>
      <w:r w:rsidRPr="00437EEF">
        <w:rPr>
          <w:rFonts w:cs="Times New Roman"/>
          <w:b/>
          <w:bCs/>
          <w:szCs w:val="24"/>
        </w:rPr>
        <w:t>Clarification and emphasis on the need for a balanced approach to AFFH</w:t>
      </w:r>
      <w:r w:rsidR="009B6A69">
        <w:rPr>
          <w:rFonts w:cs="Times New Roman"/>
          <w:b/>
          <w:bCs/>
          <w:szCs w:val="24"/>
        </w:rPr>
        <w:t xml:space="preserve">. </w:t>
      </w:r>
      <w:r w:rsidR="009B6A69">
        <w:rPr>
          <w:rFonts w:cs="Times New Roman"/>
          <w:szCs w:val="24"/>
        </w:rPr>
        <w:t xml:space="preserve">It is important that a program participant use </w:t>
      </w:r>
      <w:r w:rsidRPr="00437EEF">
        <w:rPr>
          <w:rFonts w:cs="Times New Roman"/>
          <w:szCs w:val="24"/>
        </w:rPr>
        <w:t>a combination of place-based and mobility strategies and actions</w:t>
      </w:r>
      <w:r w:rsidR="009B6A69">
        <w:rPr>
          <w:rFonts w:cs="Times New Roman"/>
          <w:szCs w:val="24"/>
        </w:rPr>
        <w:t>,</w:t>
      </w:r>
      <w:r w:rsidRPr="00437EEF">
        <w:rPr>
          <w:rFonts w:cs="Times New Roman"/>
          <w:szCs w:val="24"/>
        </w:rPr>
        <w:t xml:space="preserve"> </w:t>
      </w:r>
      <w:r w:rsidR="009B6A69">
        <w:rPr>
          <w:rFonts w:cs="Times New Roman"/>
          <w:szCs w:val="24"/>
        </w:rPr>
        <w:t xml:space="preserve">such as preserving </w:t>
      </w:r>
      <w:r w:rsidR="009B6A69" w:rsidRPr="00437EEF">
        <w:rPr>
          <w:rFonts w:cs="Times New Roman"/>
          <w:szCs w:val="24"/>
        </w:rPr>
        <w:t>existing affordable housing in racially or ethnically concentrated areas of poverty</w:t>
      </w:r>
      <w:r w:rsidR="009B6A69">
        <w:rPr>
          <w:rFonts w:cs="Times New Roman"/>
          <w:szCs w:val="24"/>
        </w:rPr>
        <w:t>, while also initiating</w:t>
      </w:r>
      <w:r w:rsidR="009B6A69" w:rsidRPr="00437EEF">
        <w:rPr>
          <w:rFonts w:cs="Times New Roman"/>
          <w:szCs w:val="24"/>
        </w:rPr>
        <w:t xml:space="preserve"> policies that remove barriers (such as zoning ordinances)</w:t>
      </w:r>
      <w:r w:rsidR="009B6A69">
        <w:rPr>
          <w:rFonts w:cs="Times New Roman"/>
          <w:szCs w:val="24"/>
        </w:rPr>
        <w:t xml:space="preserve"> </w:t>
      </w:r>
      <w:r w:rsidR="009B6A69" w:rsidRPr="00437EEF">
        <w:rPr>
          <w:rFonts w:cs="Times New Roman"/>
          <w:szCs w:val="24"/>
        </w:rPr>
        <w:t>prevent</w:t>
      </w:r>
      <w:r w:rsidR="009B6A69">
        <w:rPr>
          <w:rFonts w:cs="Times New Roman"/>
          <w:szCs w:val="24"/>
        </w:rPr>
        <w:t>ing</w:t>
      </w:r>
      <w:r w:rsidR="009B6A69" w:rsidRPr="00437EEF">
        <w:rPr>
          <w:rFonts w:cs="Times New Roman"/>
          <w:szCs w:val="24"/>
        </w:rPr>
        <w:t xml:space="preserve"> people from obtaining affordable housing in well-resourced neighborhoods. </w:t>
      </w:r>
    </w:p>
    <w:p w14:paraId="1DBEA149" w14:textId="77777777" w:rsidR="009B6A69" w:rsidRPr="009B6A69" w:rsidRDefault="009B6A69" w:rsidP="009B6A69">
      <w:pPr>
        <w:pStyle w:val="ListParagraph"/>
        <w:rPr>
          <w:rFonts w:cs="Times New Roman"/>
          <w:szCs w:val="24"/>
        </w:rPr>
      </w:pPr>
    </w:p>
    <w:p w14:paraId="694A550B" w14:textId="77777777" w:rsidR="008631A0" w:rsidRDefault="008631A0" w:rsidP="003C1DF1"/>
    <w:p w14:paraId="0E8DF63A" w14:textId="77777777" w:rsidR="008631A0" w:rsidRDefault="008631A0" w:rsidP="003C1DF1"/>
    <w:p w14:paraId="65014476" w14:textId="77777777" w:rsidR="008631A0" w:rsidRDefault="008631A0" w:rsidP="003C1DF1"/>
    <w:p w14:paraId="78342B51" w14:textId="77777777" w:rsidR="008631A0" w:rsidRDefault="008631A0" w:rsidP="003C1DF1"/>
    <w:p w14:paraId="27E86F57" w14:textId="77777777" w:rsidR="008631A0" w:rsidRDefault="008631A0" w:rsidP="003C1DF1"/>
    <w:p w14:paraId="0A36B5C6" w14:textId="77777777" w:rsidR="008631A0" w:rsidRDefault="008631A0" w:rsidP="003C1DF1"/>
    <w:p w14:paraId="364CF1AC" w14:textId="77777777" w:rsidR="008631A0" w:rsidRDefault="008631A0" w:rsidP="003C1DF1"/>
    <w:p w14:paraId="70353D7B" w14:textId="77777777" w:rsidR="008631A0" w:rsidRDefault="008631A0" w:rsidP="003C1DF1"/>
    <w:p w14:paraId="097BFFF5" w14:textId="77777777" w:rsidR="008631A0" w:rsidRDefault="008631A0" w:rsidP="003C1DF1"/>
    <w:p w14:paraId="6F1A0FD8" w14:textId="45848F58" w:rsidR="00A13440" w:rsidRDefault="00A13440" w:rsidP="003C1DF1">
      <w:r>
        <w:lastRenderedPageBreak/>
        <w:t xml:space="preserve">Even though </w:t>
      </w:r>
      <w:r w:rsidRPr="005C0D81">
        <w:rPr>
          <w:rFonts w:cs="Times New Roman"/>
          <w:szCs w:val="24"/>
        </w:rPr>
        <w:t>[</w:t>
      </w:r>
      <w:r w:rsidRPr="005C0D81">
        <w:rPr>
          <w:rFonts w:cs="Times New Roman"/>
          <w:i/>
          <w:szCs w:val="24"/>
        </w:rPr>
        <w:t>Your organization</w:t>
      </w:r>
      <w:r w:rsidRPr="005C0D81">
        <w:rPr>
          <w:rFonts w:cs="Times New Roman"/>
          <w:szCs w:val="24"/>
        </w:rPr>
        <w:t xml:space="preserve">] </w:t>
      </w:r>
      <w:r>
        <w:t>is generally pleased with the proposed rule, we have</w:t>
      </w:r>
      <w:r w:rsidR="00077580">
        <w:t xml:space="preserve"> </w:t>
      </w:r>
      <w:r>
        <w:t xml:space="preserve">concerns </w:t>
      </w:r>
      <w:r w:rsidR="00234206">
        <w:t xml:space="preserve">and </w:t>
      </w:r>
      <w:r w:rsidR="00234206" w:rsidRPr="003C2FC1">
        <w:t>suggestions</w:t>
      </w:r>
      <w:r w:rsidR="00234206">
        <w:t xml:space="preserve"> </w:t>
      </w:r>
      <w:r>
        <w:t>we urge HUD to seriously consider</w:t>
      </w:r>
      <w:r w:rsidR="00077580">
        <w:t xml:space="preserve"> that will strengthen a final rule</w:t>
      </w:r>
      <w:r>
        <w:t xml:space="preserve">. </w:t>
      </w:r>
    </w:p>
    <w:p w14:paraId="28F005AF" w14:textId="1B16DB6D" w:rsidR="00234206" w:rsidRPr="00AA52C7" w:rsidRDefault="00234206" w:rsidP="003C1DF1">
      <w:pPr>
        <w:rPr>
          <w:sz w:val="16"/>
          <w:szCs w:val="16"/>
        </w:rPr>
      </w:pPr>
    </w:p>
    <w:p w14:paraId="56EC97B3" w14:textId="193CEBFF" w:rsidR="00234206" w:rsidRPr="00234206" w:rsidRDefault="00234206" w:rsidP="00234206">
      <w:pPr>
        <w:pStyle w:val="ListParagraph"/>
        <w:numPr>
          <w:ilvl w:val="0"/>
          <w:numId w:val="2"/>
        </w:numPr>
        <w:ind w:left="360"/>
        <w:rPr>
          <w:b/>
          <w:bCs/>
        </w:rPr>
      </w:pPr>
      <w:r w:rsidRPr="00234206">
        <w:rPr>
          <w:b/>
          <w:bCs/>
        </w:rPr>
        <w:t>Community Engagement</w:t>
      </w:r>
    </w:p>
    <w:p w14:paraId="51364E22" w14:textId="4973E1B3" w:rsidR="00234206" w:rsidRPr="008631A0" w:rsidRDefault="00234206" w:rsidP="00234206">
      <w:pPr>
        <w:pStyle w:val="ListParagraph"/>
        <w:ind w:left="360"/>
        <w:rPr>
          <w:sz w:val="16"/>
          <w:szCs w:val="16"/>
        </w:rPr>
      </w:pPr>
    </w:p>
    <w:p w14:paraId="2FC74658" w14:textId="4143E888" w:rsidR="003964B2" w:rsidRPr="001826CF" w:rsidRDefault="00085FEB" w:rsidP="003C2FC1">
      <w:pPr>
        <w:pStyle w:val="ListParagraph"/>
        <w:ind w:left="360"/>
        <w:rPr>
          <w:rFonts w:ascii="Arial" w:hAnsi="Arial" w:cs="Arial"/>
          <w:i/>
          <w:iCs/>
          <w:sz w:val="20"/>
          <w:szCs w:val="20"/>
        </w:rPr>
      </w:pPr>
      <w:r w:rsidRPr="001826CF">
        <w:rPr>
          <w:sz w:val="20"/>
          <w:szCs w:val="20"/>
        </w:rPr>
        <w:t>[</w:t>
      </w:r>
      <w:r w:rsidR="00305CFC" w:rsidRPr="001826CF">
        <w:rPr>
          <w:rFonts w:ascii="Arial" w:hAnsi="Arial" w:cs="Arial"/>
          <w:i/>
          <w:iCs/>
          <w:sz w:val="20"/>
          <w:szCs w:val="20"/>
        </w:rPr>
        <w:t>The following, and other font like this, is background for advocates:</w:t>
      </w:r>
      <w:r w:rsidR="00305CFC" w:rsidRPr="001826CF">
        <w:rPr>
          <w:sz w:val="20"/>
          <w:szCs w:val="20"/>
        </w:rPr>
        <w:t xml:space="preserve"> </w:t>
      </w:r>
      <w:r w:rsidR="00234206" w:rsidRPr="001826CF">
        <w:rPr>
          <w:rFonts w:ascii="Arial" w:hAnsi="Arial" w:cs="Arial"/>
          <w:i/>
          <w:iCs/>
          <w:sz w:val="20"/>
          <w:szCs w:val="20"/>
        </w:rPr>
        <w:t xml:space="preserve">The proposed rule </w:t>
      </w:r>
      <w:r w:rsidR="003964B2" w:rsidRPr="001826CF">
        <w:rPr>
          <w:rFonts w:ascii="Arial" w:hAnsi="Arial" w:cs="Arial"/>
          <w:i/>
          <w:iCs/>
          <w:sz w:val="20"/>
          <w:szCs w:val="20"/>
        </w:rPr>
        <w:t xml:space="preserve">calls for three stages in developing a program participant’s Equity Plan: </w:t>
      </w:r>
      <w:r w:rsidR="005C1834" w:rsidRPr="001826CF">
        <w:rPr>
          <w:rFonts w:ascii="Arial" w:hAnsi="Arial" w:cs="Arial"/>
          <w:i/>
          <w:iCs/>
          <w:sz w:val="20"/>
          <w:szCs w:val="20"/>
        </w:rPr>
        <w:t>i</w:t>
      </w:r>
      <w:r w:rsidR="003964B2" w:rsidRPr="001826CF">
        <w:rPr>
          <w:rFonts w:ascii="Arial" w:hAnsi="Arial" w:cs="Arial"/>
          <w:i/>
          <w:iCs/>
          <w:sz w:val="20"/>
          <w:szCs w:val="20"/>
        </w:rPr>
        <w:t xml:space="preserve">dentifying fair housing issues, prioritizing fair housing issues, </w:t>
      </w:r>
      <w:r w:rsidRPr="001826CF">
        <w:rPr>
          <w:rFonts w:ascii="Arial" w:hAnsi="Arial" w:cs="Arial"/>
          <w:i/>
          <w:iCs/>
          <w:sz w:val="20"/>
          <w:szCs w:val="20"/>
        </w:rPr>
        <w:t xml:space="preserve">and </w:t>
      </w:r>
      <w:r w:rsidR="003964B2" w:rsidRPr="001826CF">
        <w:rPr>
          <w:rFonts w:ascii="Arial" w:hAnsi="Arial" w:cs="Arial"/>
          <w:i/>
          <w:iCs/>
          <w:sz w:val="20"/>
          <w:szCs w:val="20"/>
        </w:rPr>
        <w:t>setting fair housing goals. The rule also</w:t>
      </w:r>
      <w:r w:rsidR="00234206" w:rsidRPr="001826CF">
        <w:rPr>
          <w:rFonts w:ascii="Arial" w:hAnsi="Arial" w:cs="Arial"/>
          <w:i/>
          <w:iCs/>
          <w:sz w:val="20"/>
          <w:szCs w:val="20"/>
        </w:rPr>
        <w:t xml:space="preserve"> calls for community engagement to inform </w:t>
      </w:r>
      <w:r w:rsidR="003964B2" w:rsidRPr="001826CF">
        <w:rPr>
          <w:rFonts w:ascii="Arial" w:hAnsi="Arial" w:cs="Arial"/>
          <w:i/>
          <w:iCs/>
          <w:sz w:val="20"/>
          <w:szCs w:val="20"/>
        </w:rPr>
        <w:t xml:space="preserve">those </w:t>
      </w:r>
      <w:r w:rsidR="00234206" w:rsidRPr="001826CF">
        <w:rPr>
          <w:rFonts w:ascii="Arial" w:hAnsi="Arial" w:cs="Arial"/>
          <w:i/>
          <w:iCs/>
          <w:sz w:val="20"/>
          <w:szCs w:val="20"/>
        </w:rPr>
        <w:t>three stages</w:t>
      </w:r>
      <w:r w:rsidR="003964B2" w:rsidRPr="001826CF">
        <w:rPr>
          <w:rFonts w:ascii="Arial" w:hAnsi="Arial" w:cs="Arial"/>
          <w:i/>
          <w:iCs/>
          <w:sz w:val="20"/>
          <w:szCs w:val="20"/>
        </w:rPr>
        <w:t>. However, there is no direction tying a specific public engagement process to a given stage; the rule merely requires at least three public meetings during the development of an Equity Plan. Without further direction, a program participant could simply have three meetings to identify fair housing issues. Although the public can offer new information to HUD while it is reviewing an Equity Plan, the scope of information HUD will consider is limited. The public ought to be able to review and comment on a draft Equity Plan before it is sent to HUD for review.</w:t>
      </w:r>
      <w:r w:rsidRPr="001826CF">
        <w:rPr>
          <w:rFonts w:ascii="Arial" w:hAnsi="Arial" w:cs="Arial"/>
          <w:sz w:val="20"/>
          <w:szCs w:val="20"/>
        </w:rPr>
        <w:t>]</w:t>
      </w:r>
      <w:r w:rsidR="003964B2" w:rsidRPr="001826CF">
        <w:rPr>
          <w:rFonts w:ascii="Arial" w:hAnsi="Arial" w:cs="Arial"/>
          <w:i/>
          <w:iCs/>
          <w:sz w:val="20"/>
          <w:szCs w:val="20"/>
        </w:rPr>
        <w:t xml:space="preserve"> </w:t>
      </w:r>
    </w:p>
    <w:p w14:paraId="2D96AC50" w14:textId="77777777" w:rsidR="003964B2" w:rsidRPr="00AA52C7" w:rsidRDefault="003964B2" w:rsidP="003964B2">
      <w:pPr>
        <w:pStyle w:val="ListParagraph"/>
        <w:ind w:left="360"/>
        <w:rPr>
          <w:sz w:val="16"/>
          <w:szCs w:val="16"/>
        </w:rPr>
      </w:pPr>
    </w:p>
    <w:p w14:paraId="1E57F0A5" w14:textId="409121B3" w:rsidR="003964B2" w:rsidRDefault="00085FEB" w:rsidP="003964B2">
      <w:pPr>
        <w:pStyle w:val="ListParagraph"/>
        <w:ind w:left="360"/>
        <w:rPr>
          <w:rFonts w:cs="Times New Roman"/>
          <w:szCs w:val="24"/>
        </w:rPr>
      </w:pPr>
      <w:r>
        <w:t>W</w:t>
      </w:r>
      <w:r w:rsidR="003964B2">
        <w:t xml:space="preserve">e urge HUD to add specific language </w:t>
      </w:r>
      <w:r w:rsidR="003964B2" w:rsidRPr="003964B2">
        <w:rPr>
          <w:rFonts w:cs="Times New Roman"/>
          <w:szCs w:val="24"/>
        </w:rPr>
        <w:t>requiring at least four stages of community engagement meetings prior to and during the development of an Equity Plan:</w:t>
      </w:r>
      <w:r w:rsidR="003964B2">
        <w:rPr>
          <w:rFonts w:cs="Times New Roman"/>
          <w:szCs w:val="24"/>
        </w:rPr>
        <w:t xml:space="preserve"> (1) i</w:t>
      </w:r>
      <w:r w:rsidR="003964B2" w:rsidRPr="003964B2">
        <w:rPr>
          <w:rFonts w:cs="Times New Roman"/>
          <w:szCs w:val="24"/>
        </w:rPr>
        <w:t>dentifying fair housing issues</w:t>
      </w:r>
      <w:r w:rsidR="003964B2">
        <w:rPr>
          <w:rFonts w:cs="Times New Roman"/>
          <w:szCs w:val="24"/>
        </w:rPr>
        <w:t>, (2) e</w:t>
      </w:r>
      <w:r w:rsidR="003964B2" w:rsidRPr="003964B2">
        <w:rPr>
          <w:rFonts w:cs="Times New Roman"/>
          <w:szCs w:val="24"/>
        </w:rPr>
        <w:t>stablishing which fair housing issues to prioritize</w:t>
      </w:r>
      <w:r w:rsidR="003964B2">
        <w:rPr>
          <w:rFonts w:cs="Times New Roman"/>
          <w:szCs w:val="24"/>
        </w:rPr>
        <w:t>, (3) e</w:t>
      </w:r>
      <w:r w:rsidR="003964B2" w:rsidRPr="003964B2">
        <w:rPr>
          <w:rFonts w:cs="Times New Roman"/>
          <w:szCs w:val="24"/>
        </w:rPr>
        <w:t>stablishing fair housing goals</w:t>
      </w:r>
      <w:r w:rsidR="003964B2">
        <w:rPr>
          <w:rFonts w:cs="Times New Roman"/>
          <w:szCs w:val="24"/>
        </w:rPr>
        <w:t>, and (4)</w:t>
      </w:r>
      <w:r w:rsidR="003964B2" w:rsidRPr="003964B2">
        <w:rPr>
          <w:rFonts w:cs="Times New Roman"/>
          <w:szCs w:val="24"/>
        </w:rPr>
        <w:t xml:space="preserve"> </w:t>
      </w:r>
      <w:r w:rsidR="003964B2">
        <w:rPr>
          <w:rFonts w:cs="Times New Roman"/>
          <w:szCs w:val="24"/>
        </w:rPr>
        <w:t>c</w:t>
      </w:r>
      <w:r w:rsidR="003964B2" w:rsidRPr="003964B2">
        <w:rPr>
          <w:rFonts w:cs="Times New Roman"/>
          <w:szCs w:val="24"/>
        </w:rPr>
        <w:t>ommenting on a draft Equity Plan before its submission to HUD</w:t>
      </w:r>
      <w:r w:rsidR="003964B2">
        <w:rPr>
          <w:rFonts w:cs="Times New Roman"/>
          <w:szCs w:val="24"/>
        </w:rPr>
        <w:t>.</w:t>
      </w:r>
    </w:p>
    <w:p w14:paraId="4252F26A" w14:textId="032A9C17" w:rsidR="008A5A83" w:rsidRPr="00AA52C7" w:rsidRDefault="008A5A83" w:rsidP="003964B2">
      <w:pPr>
        <w:pStyle w:val="ListParagraph"/>
        <w:ind w:left="360"/>
        <w:rPr>
          <w:rFonts w:cs="Times New Roman"/>
          <w:sz w:val="16"/>
          <w:szCs w:val="16"/>
        </w:rPr>
      </w:pPr>
    </w:p>
    <w:p w14:paraId="0DAD1D20" w14:textId="76E4C082" w:rsidR="00085FEB" w:rsidRPr="001826CF" w:rsidRDefault="00085FEB" w:rsidP="008A5A83">
      <w:pPr>
        <w:pStyle w:val="ListParagraph"/>
        <w:ind w:left="360"/>
        <w:rPr>
          <w:rFonts w:cs="Times New Roman"/>
          <w:sz w:val="20"/>
          <w:szCs w:val="20"/>
        </w:rPr>
      </w:pPr>
      <w:r w:rsidRPr="001826CF">
        <w:rPr>
          <w:rFonts w:cs="Times New Roman"/>
          <w:sz w:val="20"/>
          <w:szCs w:val="20"/>
        </w:rPr>
        <w:t>[</w:t>
      </w:r>
      <w:r w:rsidR="008A5A83" w:rsidRPr="001826CF">
        <w:rPr>
          <w:rFonts w:ascii="Arial" w:hAnsi="Arial" w:cs="Arial"/>
          <w:i/>
          <w:iCs/>
          <w:sz w:val="20"/>
          <w:szCs w:val="20"/>
        </w:rPr>
        <w:t xml:space="preserve">The proposed rule would allow a program participant to combine the community engagement provisions of the AFFH rule with the citizen participation provisions of the Consolidated Plan (ConPlan) regulations and the resident and public participation provisions of the PHA Plan regulations. However, </w:t>
      </w:r>
      <w:r w:rsidRPr="001826CF">
        <w:rPr>
          <w:rFonts w:ascii="Arial" w:hAnsi="Arial" w:cs="Arial"/>
          <w:i/>
          <w:iCs/>
          <w:sz w:val="20"/>
          <w:szCs w:val="20"/>
        </w:rPr>
        <w:t xml:space="preserve">there </w:t>
      </w:r>
      <w:r w:rsidR="008A5A83" w:rsidRPr="001826CF">
        <w:rPr>
          <w:rFonts w:ascii="Arial" w:hAnsi="Arial" w:cs="Arial"/>
          <w:i/>
          <w:iCs/>
          <w:sz w:val="20"/>
          <w:szCs w:val="20"/>
        </w:rPr>
        <w:t>is an irreconcilable incompatibility between the improved AFFH community engagement provisions and the far more limited ConPlan and PHA Plan rules</w:t>
      </w:r>
      <w:r w:rsidR="008A5A83" w:rsidRPr="001826CF">
        <w:rPr>
          <w:rFonts w:cs="Times New Roman"/>
          <w:sz w:val="20"/>
          <w:szCs w:val="20"/>
        </w:rPr>
        <w:t>.</w:t>
      </w:r>
      <w:r w:rsidRPr="001826CF">
        <w:rPr>
          <w:rFonts w:cs="Times New Roman"/>
          <w:sz w:val="20"/>
          <w:szCs w:val="20"/>
        </w:rPr>
        <w:t>]</w:t>
      </w:r>
      <w:r w:rsidR="008A5A83" w:rsidRPr="001826CF">
        <w:rPr>
          <w:rFonts w:cs="Times New Roman"/>
          <w:sz w:val="20"/>
          <w:szCs w:val="20"/>
        </w:rPr>
        <w:t xml:space="preserve"> </w:t>
      </w:r>
    </w:p>
    <w:p w14:paraId="384CD71A" w14:textId="77777777" w:rsidR="00085FEB" w:rsidRPr="00AA52C7" w:rsidRDefault="00085FEB" w:rsidP="008A5A83">
      <w:pPr>
        <w:pStyle w:val="ListParagraph"/>
        <w:ind w:left="360"/>
        <w:rPr>
          <w:rFonts w:cs="Times New Roman"/>
          <w:sz w:val="16"/>
          <w:szCs w:val="16"/>
        </w:rPr>
      </w:pPr>
    </w:p>
    <w:p w14:paraId="2B3147B5" w14:textId="377DF3B8" w:rsidR="008A5A83" w:rsidRDefault="008A5A83" w:rsidP="008A5A83">
      <w:pPr>
        <w:pStyle w:val="ListParagraph"/>
        <w:ind w:left="360"/>
        <w:rPr>
          <w:rFonts w:cs="Times New Roman"/>
          <w:szCs w:val="24"/>
        </w:rPr>
      </w:pPr>
      <w:r w:rsidRPr="008A5A83">
        <w:rPr>
          <w:rFonts w:cs="Times New Roman"/>
          <w:szCs w:val="24"/>
        </w:rPr>
        <w:t>[</w:t>
      </w:r>
      <w:r w:rsidRPr="008A5A83">
        <w:rPr>
          <w:rFonts w:cs="Times New Roman"/>
          <w:i/>
          <w:szCs w:val="24"/>
        </w:rPr>
        <w:t>Your organization</w:t>
      </w:r>
      <w:r w:rsidRPr="008A5A83">
        <w:rPr>
          <w:rFonts w:cs="Times New Roman"/>
          <w:szCs w:val="24"/>
        </w:rPr>
        <w:t>] strongly urges HUD to eliminate all provisions allowing</w:t>
      </w:r>
      <w:r>
        <w:rPr>
          <w:rFonts w:cs="Times New Roman"/>
          <w:szCs w:val="24"/>
        </w:rPr>
        <w:t xml:space="preserve"> AFFH community engagement</w:t>
      </w:r>
      <w:r w:rsidR="00085FEB">
        <w:rPr>
          <w:rFonts w:cs="Times New Roman"/>
          <w:szCs w:val="24"/>
        </w:rPr>
        <w:t xml:space="preserve"> to be combined with </w:t>
      </w:r>
      <w:r>
        <w:rPr>
          <w:rFonts w:cs="Times New Roman"/>
          <w:szCs w:val="24"/>
        </w:rPr>
        <w:t>ConPlan and PHA Plan participation</w:t>
      </w:r>
      <w:r w:rsidR="00085FEB">
        <w:rPr>
          <w:rFonts w:cs="Times New Roman"/>
          <w:szCs w:val="24"/>
        </w:rPr>
        <w:t>.</w:t>
      </w:r>
      <w:r w:rsidRPr="008A5A83">
        <w:rPr>
          <w:rFonts w:cs="Times New Roman"/>
          <w:szCs w:val="24"/>
        </w:rPr>
        <w:t xml:space="preserve"> The AFFH community engagement requirements must be separate</w:t>
      </w:r>
      <w:r w:rsidR="00085FEB">
        <w:rPr>
          <w:rFonts w:cs="Times New Roman"/>
          <w:szCs w:val="24"/>
        </w:rPr>
        <w:t xml:space="preserve"> from</w:t>
      </w:r>
      <w:r w:rsidRPr="008A5A83">
        <w:rPr>
          <w:rFonts w:cs="Times New Roman"/>
          <w:szCs w:val="24"/>
        </w:rPr>
        <w:t xml:space="preserve"> and in addition to the ConPlan and the PHA Plan public participation provisions.</w:t>
      </w:r>
    </w:p>
    <w:p w14:paraId="73D2F28A" w14:textId="7EAF8EF7" w:rsidR="009A13F7" w:rsidRPr="00AA52C7" w:rsidRDefault="009A13F7" w:rsidP="008A5A83">
      <w:pPr>
        <w:pStyle w:val="ListParagraph"/>
        <w:ind w:left="360"/>
        <w:rPr>
          <w:rFonts w:cs="Times New Roman"/>
          <w:sz w:val="16"/>
          <w:szCs w:val="16"/>
        </w:rPr>
      </w:pPr>
    </w:p>
    <w:p w14:paraId="300C9D3B" w14:textId="3C149B68" w:rsidR="009A13F7" w:rsidRDefault="009A13F7" w:rsidP="004947DF">
      <w:pPr>
        <w:ind w:left="360"/>
        <w:rPr>
          <w:rFonts w:cs="Times New Roman"/>
        </w:rPr>
      </w:pPr>
      <w:r w:rsidRPr="008A5A83">
        <w:rPr>
          <w:rFonts w:cs="Times New Roman"/>
          <w:szCs w:val="24"/>
        </w:rPr>
        <w:t>[</w:t>
      </w:r>
      <w:r w:rsidRPr="008A5A83">
        <w:rPr>
          <w:rFonts w:cs="Times New Roman"/>
          <w:i/>
          <w:szCs w:val="24"/>
        </w:rPr>
        <w:t>Your organization</w:t>
      </w:r>
      <w:r w:rsidRPr="008A5A83">
        <w:rPr>
          <w:rFonts w:cs="Times New Roman"/>
          <w:szCs w:val="24"/>
        </w:rPr>
        <w:t xml:space="preserve">] </w:t>
      </w:r>
      <w:r w:rsidRPr="009A13F7">
        <w:rPr>
          <w:rFonts w:cs="Times New Roman"/>
        </w:rPr>
        <w:t xml:space="preserve">suggests that the regulation include as an acceptable meeting format, hybrid meetings that </w:t>
      </w:r>
      <w:r w:rsidR="004947DF">
        <w:rPr>
          <w:rFonts w:cs="Times New Roman"/>
        </w:rPr>
        <w:t>provide</w:t>
      </w:r>
      <w:r w:rsidRPr="009A13F7">
        <w:rPr>
          <w:rFonts w:cs="Times New Roman"/>
        </w:rPr>
        <w:t xml:space="preserve"> virtual engagement </w:t>
      </w:r>
      <w:proofErr w:type="gramStart"/>
      <w:r w:rsidRPr="009A13F7">
        <w:rPr>
          <w:rFonts w:cs="Times New Roman"/>
        </w:rPr>
        <w:t>as long as</w:t>
      </w:r>
      <w:proofErr w:type="gramEnd"/>
      <w:r w:rsidRPr="009A13F7">
        <w:rPr>
          <w:rFonts w:cs="Times New Roman"/>
        </w:rPr>
        <w:t xml:space="preserve"> there is concurrent in-person engagement. </w:t>
      </w:r>
      <w:r w:rsidR="004947DF">
        <w:rPr>
          <w:rFonts w:cs="Times New Roman"/>
        </w:rPr>
        <w:t xml:space="preserve">This </w:t>
      </w:r>
      <w:r w:rsidRPr="009A13F7">
        <w:rPr>
          <w:rFonts w:cs="Times New Roman"/>
        </w:rPr>
        <w:t>may enable more protected class and</w:t>
      </w:r>
      <w:r w:rsidR="0036138A">
        <w:rPr>
          <w:rFonts w:cs="Times New Roman"/>
        </w:rPr>
        <w:t xml:space="preserve"> </w:t>
      </w:r>
      <w:r w:rsidRPr="009A13F7">
        <w:rPr>
          <w:rFonts w:cs="Times New Roman"/>
        </w:rPr>
        <w:t xml:space="preserve">underserved community </w:t>
      </w:r>
      <w:r w:rsidR="004947DF">
        <w:rPr>
          <w:rFonts w:cs="Times New Roman"/>
        </w:rPr>
        <w:t>people</w:t>
      </w:r>
      <w:r w:rsidRPr="009A13F7">
        <w:rPr>
          <w:rFonts w:cs="Times New Roman"/>
        </w:rPr>
        <w:t xml:space="preserve"> to engage</w:t>
      </w:r>
      <w:r>
        <w:rPr>
          <w:rFonts w:cs="Times New Roman"/>
        </w:rPr>
        <w:t>, those</w:t>
      </w:r>
      <w:r w:rsidRPr="009A13F7">
        <w:rPr>
          <w:rFonts w:cs="Times New Roman"/>
        </w:rPr>
        <w:t xml:space="preserve"> </w:t>
      </w:r>
      <w:r w:rsidR="004947DF">
        <w:rPr>
          <w:rFonts w:cs="Times New Roman"/>
        </w:rPr>
        <w:t xml:space="preserve">with </w:t>
      </w:r>
      <w:r w:rsidRPr="009A13F7">
        <w:rPr>
          <w:rFonts w:cs="Times New Roman"/>
        </w:rPr>
        <w:t xml:space="preserve">childcare or eldercare responsibilities, </w:t>
      </w:r>
      <w:r w:rsidR="004947DF">
        <w:rPr>
          <w:rFonts w:cs="Times New Roman"/>
        </w:rPr>
        <w:t xml:space="preserve">with </w:t>
      </w:r>
      <w:r w:rsidRPr="009A13F7">
        <w:rPr>
          <w:rFonts w:cs="Times New Roman"/>
        </w:rPr>
        <w:t xml:space="preserve">a disability that makes attending in-person meetings difficult, </w:t>
      </w:r>
      <w:r w:rsidR="0067767C">
        <w:rPr>
          <w:rFonts w:cs="Times New Roman"/>
        </w:rPr>
        <w:t xml:space="preserve">and </w:t>
      </w:r>
      <w:r w:rsidR="004947DF">
        <w:rPr>
          <w:rFonts w:cs="Times New Roman"/>
        </w:rPr>
        <w:t>those who l</w:t>
      </w:r>
      <w:r w:rsidRPr="009A13F7">
        <w:rPr>
          <w:rFonts w:cs="Times New Roman"/>
        </w:rPr>
        <w:t>ack affordable or reliable transportation</w:t>
      </w:r>
      <w:r w:rsidR="004947DF">
        <w:rPr>
          <w:rFonts w:cs="Times New Roman"/>
        </w:rPr>
        <w:t>.</w:t>
      </w:r>
    </w:p>
    <w:p w14:paraId="214729EC" w14:textId="77777777" w:rsidR="004947DF" w:rsidRPr="00AA52C7" w:rsidRDefault="004947DF" w:rsidP="004947DF">
      <w:pPr>
        <w:ind w:left="360"/>
        <w:rPr>
          <w:rFonts w:cs="Times New Roman"/>
          <w:sz w:val="16"/>
          <w:szCs w:val="16"/>
        </w:rPr>
      </w:pPr>
    </w:p>
    <w:p w14:paraId="1091404C" w14:textId="38DE6A76" w:rsidR="003964B2" w:rsidRDefault="009A13F7" w:rsidP="009A13F7">
      <w:pPr>
        <w:pStyle w:val="ListParagraph"/>
        <w:numPr>
          <w:ilvl w:val="0"/>
          <w:numId w:val="2"/>
        </w:numPr>
        <w:ind w:left="360"/>
      </w:pPr>
      <w:r w:rsidRPr="009A13F7">
        <w:rPr>
          <w:rFonts w:cs="Times New Roman"/>
          <w:b/>
          <w:bCs/>
          <w:szCs w:val="24"/>
        </w:rPr>
        <w:t xml:space="preserve">Greater </w:t>
      </w:r>
      <w:r w:rsidR="00287D3C">
        <w:rPr>
          <w:rFonts w:cs="Times New Roman"/>
          <w:b/>
          <w:bCs/>
          <w:szCs w:val="24"/>
        </w:rPr>
        <w:t>P</w:t>
      </w:r>
      <w:r w:rsidRPr="009A13F7">
        <w:rPr>
          <w:rFonts w:cs="Times New Roman"/>
          <w:b/>
          <w:bCs/>
          <w:szCs w:val="24"/>
        </w:rPr>
        <w:t xml:space="preserve">ublic </w:t>
      </w:r>
      <w:r w:rsidR="00287D3C">
        <w:rPr>
          <w:rFonts w:cs="Times New Roman"/>
          <w:b/>
          <w:bCs/>
          <w:szCs w:val="24"/>
        </w:rPr>
        <w:t>T</w:t>
      </w:r>
      <w:r w:rsidRPr="009A13F7">
        <w:rPr>
          <w:rFonts w:cs="Times New Roman"/>
          <w:b/>
          <w:bCs/>
          <w:szCs w:val="24"/>
        </w:rPr>
        <w:t>ransparency</w:t>
      </w:r>
    </w:p>
    <w:p w14:paraId="50F24A1C" w14:textId="77777777" w:rsidR="003964B2" w:rsidRPr="00AA52C7" w:rsidRDefault="003964B2" w:rsidP="003964B2">
      <w:pPr>
        <w:pStyle w:val="ListParagraph"/>
        <w:ind w:left="360"/>
        <w:rPr>
          <w:sz w:val="16"/>
          <w:szCs w:val="16"/>
        </w:rPr>
      </w:pPr>
    </w:p>
    <w:p w14:paraId="643E74F0" w14:textId="6D5BCF92" w:rsidR="003C2FC1" w:rsidRDefault="008C2AD6" w:rsidP="008631A0">
      <w:pPr>
        <w:ind w:left="360"/>
        <w:rPr>
          <w:szCs w:val="24"/>
        </w:rPr>
      </w:pPr>
      <w:bookmarkStart w:id="0" w:name="_Hlk130914834"/>
      <w:r>
        <w:t xml:space="preserve">The rule should </w:t>
      </w:r>
      <w:r w:rsidRPr="008C2AD6">
        <w:rPr>
          <w:szCs w:val="24"/>
        </w:rPr>
        <w:t xml:space="preserve">require program participants to post </w:t>
      </w:r>
      <w:r w:rsidR="00CA5D92" w:rsidRPr="008C2AD6">
        <w:rPr>
          <w:szCs w:val="24"/>
        </w:rPr>
        <w:t>on</w:t>
      </w:r>
      <w:r w:rsidR="00CA5D92">
        <w:rPr>
          <w:szCs w:val="24"/>
        </w:rPr>
        <w:t xml:space="preserve"> their </w:t>
      </w:r>
      <w:r w:rsidR="0036138A">
        <w:rPr>
          <w:szCs w:val="24"/>
        </w:rPr>
        <w:t xml:space="preserve">own </w:t>
      </w:r>
      <w:r w:rsidR="00CA5D92">
        <w:rPr>
          <w:szCs w:val="24"/>
        </w:rPr>
        <w:t>website,</w:t>
      </w:r>
      <w:r w:rsidR="00CA5D92" w:rsidRPr="008C2AD6">
        <w:rPr>
          <w:szCs w:val="24"/>
        </w:rPr>
        <w:t xml:space="preserve"> </w:t>
      </w:r>
      <w:r w:rsidRPr="008C2AD6">
        <w:rPr>
          <w:szCs w:val="24"/>
        </w:rPr>
        <w:t>draft Equity Plans, submitted Equity Plans, Annual Progress Evaluations</w:t>
      </w:r>
      <w:r>
        <w:rPr>
          <w:szCs w:val="24"/>
        </w:rPr>
        <w:t xml:space="preserve">, and </w:t>
      </w:r>
      <w:r>
        <w:t>key communications between HUD and a program participant</w:t>
      </w:r>
      <w:r w:rsidR="00CA5D92">
        <w:t>.</w:t>
      </w:r>
      <w:r w:rsidRPr="008C2AD6">
        <w:rPr>
          <w:szCs w:val="24"/>
        </w:rPr>
        <w:t xml:space="preserve"> </w:t>
      </w:r>
    </w:p>
    <w:p w14:paraId="5F81737A" w14:textId="77777777" w:rsidR="008631A0" w:rsidRPr="00AA52C7" w:rsidRDefault="008631A0" w:rsidP="00AA52C7">
      <w:pPr>
        <w:rPr>
          <w:strike/>
          <w:sz w:val="16"/>
          <w:szCs w:val="16"/>
        </w:rPr>
      </w:pPr>
    </w:p>
    <w:p w14:paraId="16E47609" w14:textId="5171DE81" w:rsidR="00CA5D92" w:rsidRDefault="00CA5D92" w:rsidP="00CA5D92">
      <w:pPr>
        <w:pStyle w:val="ListParagraph"/>
        <w:numPr>
          <w:ilvl w:val="0"/>
          <w:numId w:val="2"/>
        </w:numPr>
        <w:ind w:left="360"/>
      </w:pPr>
      <w:r>
        <w:rPr>
          <w:rFonts w:cs="Times New Roman"/>
          <w:b/>
          <w:bCs/>
        </w:rPr>
        <w:t xml:space="preserve">Annual Progress </w:t>
      </w:r>
      <w:r w:rsidR="003C2FC1">
        <w:rPr>
          <w:rFonts w:cs="Times New Roman"/>
          <w:b/>
          <w:bCs/>
        </w:rPr>
        <w:t>Evaluation</w:t>
      </w:r>
    </w:p>
    <w:p w14:paraId="74AC9E38" w14:textId="77777777" w:rsidR="00CA5D92" w:rsidRPr="00AA52C7" w:rsidRDefault="00CA5D92" w:rsidP="00EA14EB">
      <w:pPr>
        <w:ind w:left="360"/>
        <w:rPr>
          <w:rFonts w:cs="Times New Roman"/>
          <w:sz w:val="16"/>
          <w:szCs w:val="16"/>
        </w:rPr>
      </w:pPr>
    </w:p>
    <w:p w14:paraId="03CAA088" w14:textId="4406EDE5" w:rsidR="008C2AD6" w:rsidRDefault="00EA14EB" w:rsidP="00AA52C7">
      <w:pPr>
        <w:ind w:left="360"/>
        <w:rPr>
          <w:rFonts w:cs="Times New Roman"/>
          <w:szCs w:val="24"/>
        </w:rPr>
      </w:pPr>
      <w:r w:rsidRPr="00EA14EB">
        <w:rPr>
          <w:rFonts w:cs="Times New Roman"/>
        </w:rPr>
        <w:t>The</w:t>
      </w:r>
      <w:r w:rsidR="00EF22D3" w:rsidRPr="00EA14EB">
        <w:rPr>
          <w:rFonts w:cs="Times New Roman"/>
          <w:szCs w:val="24"/>
        </w:rPr>
        <w:t xml:space="preserve"> </w:t>
      </w:r>
      <w:r w:rsidR="0036138A">
        <w:rPr>
          <w:rFonts w:cs="Times New Roman"/>
          <w:szCs w:val="24"/>
        </w:rPr>
        <w:t xml:space="preserve">rule should enable the </w:t>
      </w:r>
      <w:r w:rsidR="00EF22D3" w:rsidRPr="00EA14EB">
        <w:rPr>
          <w:rFonts w:cs="Times New Roman"/>
          <w:szCs w:val="24"/>
        </w:rPr>
        <w:t xml:space="preserve">public to raise progress concerns </w:t>
      </w:r>
      <w:r w:rsidR="00CA5D92" w:rsidRPr="00EA14EB">
        <w:rPr>
          <w:rFonts w:cs="Times New Roman"/>
          <w:szCs w:val="24"/>
        </w:rPr>
        <w:t xml:space="preserve">directly </w:t>
      </w:r>
      <w:r w:rsidR="00EF22D3" w:rsidRPr="00EA14EB">
        <w:rPr>
          <w:rFonts w:cs="Times New Roman"/>
          <w:szCs w:val="24"/>
        </w:rPr>
        <w:t>with HUD</w:t>
      </w:r>
      <w:r w:rsidR="0036138A">
        <w:rPr>
          <w:rFonts w:cs="Times New Roman"/>
          <w:szCs w:val="24"/>
        </w:rPr>
        <w:t xml:space="preserve">. </w:t>
      </w:r>
      <w:r w:rsidR="00EF22D3" w:rsidRPr="00EA14EB">
        <w:rPr>
          <w:rFonts w:cs="Times New Roman"/>
          <w:szCs w:val="24"/>
        </w:rPr>
        <w:t>Communications between HUD and a program participant regarding a reviewed Annual Progress Evaluation should be posted on HUD’s website.</w:t>
      </w:r>
      <w:bookmarkEnd w:id="0"/>
    </w:p>
    <w:p w14:paraId="57AAB9AB" w14:textId="77777777" w:rsidR="006A53B5" w:rsidRDefault="006A53B5" w:rsidP="00AA52C7">
      <w:pPr>
        <w:ind w:left="360"/>
        <w:rPr>
          <w:rFonts w:cs="Times New Roman"/>
          <w:szCs w:val="24"/>
        </w:rPr>
      </w:pPr>
    </w:p>
    <w:p w14:paraId="1690B038" w14:textId="77777777" w:rsidR="006A53B5" w:rsidRDefault="006A53B5" w:rsidP="00AA52C7">
      <w:pPr>
        <w:ind w:left="360"/>
        <w:rPr>
          <w:rFonts w:cs="Times New Roman"/>
          <w:szCs w:val="24"/>
        </w:rPr>
      </w:pPr>
    </w:p>
    <w:p w14:paraId="2AD7FF34" w14:textId="77777777" w:rsidR="0036138A" w:rsidRPr="00AA52C7" w:rsidRDefault="0036138A" w:rsidP="00AA52C7">
      <w:pPr>
        <w:ind w:left="360"/>
        <w:rPr>
          <w:rFonts w:cs="Times New Roman"/>
        </w:rPr>
      </w:pPr>
    </w:p>
    <w:p w14:paraId="0C940856" w14:textId="55455BF2" w:rsidR="003964B2" w:rsidRPr="00287D3C" w:rsidRDefault="00287D3C" w:rsidP="00287D3C">
      <w:pPr>
        <w:pStyle w:val="ListParagraph"/>
        <w:numPr>
          <w:ilvl w:val="0"/>
          <w:numId w:val="2"/>
        </w:numPr>
        <w:ind w:left="360"/>
        <w:rPr>
          <w:b/>
          <w:bCs/>
        </w:rPr>
      </w:pPr>
      <w:r w:rsidRPr="00287D3C">
        <w:rPr>
          <w:b/>
          <w:bCs/>
        </w:rPr>
        <w:lastRenderedPageBreak/>
        <w:t>Timeframe for Required Revision of Equity Plan after Presidentially Declared Disaster</w:t>
      </w:r>
    </w:p>
    <w:p w14:paraId="2D19EABF" w14:textId="5A74A8C0" w:rsidR="00287D3C" w:rsidRDefault="00287D3C" w:rsidP="00287D3C">
      <w:pPr>
        <w:pStyle w:val="ListParagraph"/>
        <w:ind w:left="360"/>
      </w:pPr>
    </w:p>
    <w:p w14:paraId="16595B00" w14:textId="27592E36" w:rsidR="00135474" w:rsidRPr="00EE0084" w:rsidRDefault="009D48EA" w:rsidP="009D48EA">
      <w:pPr>
        <w:pStyle w:val="ListParagraph"/>
        <w:ind w:left="360"/>
        <w:rPr>
          <w:i/>
          <w:iCs/>
          <w:sz w:val="20"/>
          <w:szCs w:val="20"/>
        </w:rPr>
      </w:pPr>
      <w:r w:rsidRPr="00EE0084">
        <w:rPr>
          <w:sz w:val="20"/>
          <w:szCs w:val="20"/>
        </w:rPr>
        <w:t>[</w:t>
      </w:r>
      <w:r w:rsidR="003C2FC1" w:rsidRPr="00EE0084">
        <w:rPr>
          <w:rFonts w:ascii="Arial" w:hAnsi="Arial" w:cs="Arial"/>
          <w:sz w:val="20"/>
          <w:szCs w:val="20"/>
        </w:rPr>
        <w:t>This item might only be of interest to those that have experienced major disasters or who are likely to experience a major disaster – just about everyone these days.</w:t>
      </w:r>
      <w:r w:rsidR="003C2FC1" w:rsidRPr="00EE0084">
        <w:rPr>
          <w:sz w:val="20"/>
          <w:szCs w:val="20"/>
        </w:rPr>
        <w:t xml:space="preserve"> </w:t>
      </w:r>
      <w:r w:rsidR="00287D3C" w:rsidRPr="00EE0084">
        <w:rPr>
          <w:rFonts w:ascii="Arial" w:hAnsi="Arial" w:cs="Arial"/>
          <w:i/>
          <w:iCs/>
          <w:sz w:val="20"/>
          <w:szCs w:val="20"/>
        </w:rPr>
        <w:t xml:space="preserve">The proposed rule </w:t>
      </w:r>
      <w:r w:rsidR="00592A01" w:rsidRPr="00EE0084">
        <w:rPr>
          <w:rFonts w:ascii="Arial" w:hAnsi="Arial" w:cs="Arial"/>
          <w:i/>
          <w:iCs/>
          <w:sz w:val="20"/>
          <w:szCs w:val="20"/>
        </w:rPr>
        <w:t xml:space="preserve">requires an Equity Plan to be revised if a “material change” occurs due to </w:t>
      </w:r>
      <w:r w:rsidR="00287D3C" w:rsidRPr="00EE0084">
        <w:rPr>
          <w:rFonts w:ascii="Arial" w:hAnsi="Arial" w:cs="Arial"/>
          <w:i/>
          <w:iCs/>
          <w:sz w:val="20"/>
          <w:szCs w:val="20"/>
        </w:rPr>
        <w:t>a Presidentially declared disaster</w:t>
      </w:r>
      <w:r w:rsidR="00592A01" w:rsidRPr="00EE0084">
        <w:rPr>
          <w:rFonts w:ascii="Arial" w:hAnsi="Arial" w:cs="Arial"/>
          <w:i/>
          <w:iCs/>
          <w:sz w:val="20"/>
          <w:szCs w:val="20"/>
        </w:rPr>
        <w:t xml:space="preserve">. </w:t>
      </w:r>
      <w:r w:rsidR="00135474" w:rsidRPr="00EE0084">
        <w:rPr>
          <w:rFonts w:ascii="Arial" w:hAnsi="Arial" w:cs="Arial"/>
          <w:i/>
          <w:iCs/>
          <w:sz w:val="20"/>
          <w:szCs w:val="20"/>
        </w:rPr>
        <w:t>As proposed, t</w:t>
      </w:r>
      <w:r w:rsidR="00592A01" w:rsidRPr="00EE0084">
        <w:rPr>
          <w:rFonts w:ascii="Arial" w:hAnsi="Arial" w:cs="Arial"/>
          <w:i/>
          <w:iCs/>
          <w:sz w:val="20"/>
          <w:szCs w:val="20"/>
        </w:rPr>
        <w:t xml:space="preserve">he deadline to submit a revision would </w:t>
      </w:r>
      <w:r w:rsidR="00287D3C" w:rsidRPr="00EE0084">
        <w:rPr>
          <w:rFonts w:ascii="Arial" w:hAnsi="Arial" w:cs="Arial"/>
          <w:i/>
          <w:iCs/>
          <w:sz w:val="20"/>
          <w:szCs w:val="20"/>
        </w:rPr>
        <w:t xml:space="preserve">automatically </w:t>
      </w:r>
      <w:r w:rsidR="00592A01" w:rsidRPr="00EE0084">
        <w:rPr>
          <w:rFonts w:ascii="Arial" w:hAnsi="Arial" w:cs="Arial"/>
          <w:i/>
          <w:iCs/>
          <w:sz w:val="20"/>
          <w:szCs w:val="20"/>
        </w:rPr>
        <w:t xml:space="preserve">be </w:t>
      </w:r>
      <w:r w:rsidR="00287D3C" w:rsidRPr="00EE0084">
        <w:rPr>
          <w:rFonts w:ascii="Arial" w:hAnsi="Arial" w:cs="Arial"/>
          <w:i/>
          <w:iCs/>
          <w:sz w:val="20"/>
          <w:szCs w:val="20"/>
        </w:rPr>
        <w:t>extended to two years after the date of the disaster declaration</w:t>
      </w:r>
      <w:r w:rsidR="00287D3C" w:rsidRPr="00EE0084">
        <w:rPr>
          <w:sz w:val="20"/>
          <w:szCs w:val="20"/>
        </w:rPr>
        <w:t>.</w:t>
      </w:r>
      <w:r w:rsidRPr="00EE0084">
        <w:rPr>
          <w:sz w:val="20"/>
          <w:szCs w:val="20"/>
        </w:rPr>
        <w:t>]</w:t>
      </w:r>
      <w:r w:rsidR="00287D3C" w:rsidRPr="00EE0084">
        <w:rPr>
          <w:sz w:val="20"/>
          <w:szCs w:val="20"/>
        </w:rPr>
        <w:t xml:space="preserve"> </w:t>
      </w:r>
    </w:p>
    <w:p w14:paraId="3DB090F2" w14:textId="77777777" w:rsidR="00135474" w:rsidRDefault="00135474" w:rsidP="00592A01">
      <w:pPr>
        <w:pStyle w:val="Default"/>
        <w:ind w:left="360"/>
      </w:pPr>
    </w:p>
    <w:p w14:paraId="76179BF1" w14:textId="51B015D4" w:rsidR="00592A01" w:rsidRPr="00135474" w:rsidRDefault="00592A01" w:rsidP="00135474">
      <w:pPr>
        <w:pStyle w:val="Default"/>
        <w:ind w:left="360"/>
      </w:pPr>
      <w:r>
        <w:t xml:space="preserve">We urge the final rule </w:t>
      </w:r>
      <w:r w:rsidR="009D48EA">
        <w:t xml:space="preserve">to </w:t>
      </w:r>
      <w:r>
        <w:t>requir</w:t>
      </w:r>
      <w:r w:rsidR="009D48EA">
        <w:t>e</w:t>
      </w:r>
      <w:r>
        <w:t xml:space="preserve"> a program participant to submit a revised Equity Plan as soon as possible after a Stafford Act Declaration is made. It is crucial to have a revised Equity Plan ready to go </w:t>
      </w:r>
      <w:proofErr w:type="gramStart"/>
      <w:r>
        <w:t>in order to</w:t>
      </w:r>
      <w:proofErr w:type="gramEnd"/>
      <w:r>
        <w:t xml:space="preserve"> ensure AFFH principles are applied to </w:t>
      </w:r>
      <w:r w:rsidR="00135474">
        <w:t xml:space="preserve">planning </w:t>
      </w:r>
      <w:r w:rsidR="00A40143">
        <w:t>associated with</w:t>
      </w:r>
      <w:r w:rsidR="00135474">
        <w:t xml:space="preserve"> </w:t>
      </w:r>
      <w:r w:rsidR="00A40143">
        <w:t>disaster-related funding</w:t>
      </w:r>
      <w:r>
        <w:t xml:space="preserve">. </w:t>
      </w:r>
    </w:p>
    <w:p w14:paraId="55C9622D" w14:textId="77777777" w:rsidR="00592A01" w:rsidRDefault="00592A01" w:rsidP="00592A01">
      <w:pPr>
        <w:pStyle w:val="Default"/>
        <w:ind w:left="360"/>
      </w:pPr>
    </w:p>
    <w:p w14:paraId="02550552" w14:textId="3271280F" w:rsidR="00287D3C" w:rsidRPr="00013ED6" w:rsidRDefault="00013ED6" w:rsidP="00013ED6">
      <w:pPr>
        <w:pStyle w:val="ListParagraph"/>
        <w:numPr>
          <w:ilvl w:val="0"/>
          <w:numId w:val="2"/>
        </w:numPr>
        <w:tabs>
          <w:tab w:val="left" w:pos="720"/>
        </w:tabs>
        <w:ind w:left="360"/>
        <w:rPr>
          <w:b/>
          <w:bCs/>
        </w:rPr>
      </w:pPr>
      <w:r w:rsidRPr="00013ED6">
        <w:rPr>
          <w:b/>
          <w:bCs/>
        </w:rPr>
        <w:t>Definitions</w:t>
      </w:r>
    </w:p>
    <w:p w14:paraId="3A1A8A49" w14:textId="2737ED42" w:rsidR="00013ED6" w:rsidRDefault="00013ED6" w:rsidP="00013ED6"/>
    <w:p w14:paraId="2795D58B" w14:textId="5BA72078" w:rsidR="00013ED6" w:rsidRPr="00013ED6" w:rsidRDefault="00013ED6" w:rsidP="00013ED6">
      <w:pPr>
        <w:ind w:left="360"/>
        <w:rPr>
          <w:b/>
          <w:bCs/>
        </w:rPr>
      </w:pPr>
      <w:r w:rsidRPr="00013ED6">
        <w:rPr>
          <w:b/>
          <w:bCs/>
        </w:rPr>
        <w:t>“Affordable Housing Opportunities”</w:t>
      </w:r>
    </w:p>
    <w:p w14:paraId="359590C8" w14:textId="45E025CB" w:rsidR="00013ED6" w:rsidRDefault="00013ED6" w:rsidP="00013ED6">
      <w:pPr>
        <w:ind w:left="360"/>
      </w:pPr>
    </w:p>
    <w:p w14:paraId="135A6361" w14:textId="3219B232" w:rsidR="00D45744" w:rsidRPr="00EE0084" w:rsidRDefault="00D45744" w:rsidP="00013ED6">
      <w:pPr>
        <w:ind w:left="360"/>
        <w:rPr>
          <w:rFonts w:cs="Times New Roman"/>
          <w:sz w:val="20"/>
          <w:szCs w:val="20"/>
        </w:rPr>
      </w:pPr>
      <w:r w:rsidRPr="00EE0084">
        <w:rPr>
          <w:rFonts w:cs="Times New Roman"/>
          <w:sz w:val="20"/>
          <w:szCs w:val="20"/>
        </w:rPr>
        <w:t>[</w:t>
      </w:r>
      <w:r w:rsidR="00013ED6" w:rsidRPr="00EE0084">
        <w:rPr>
          <w:rFonts w:ascii="Arial" w:hAnsi="Arial" w:cs="Arial"/>
          <w:i/>
          <w:iCs/>
          <w:sz w:val="20"/>
          <w:szCs w:val="20"/>
        </w:rPr>
        <w:t>A major problem with the proposed rule is that it does not define “affordable” while using the word “affordable”</w:t>
      </w:r>
      <w:r w:rsidRPr="00EE0084">
        <w:rPr>
          <w:rFonts w:ascii="Arial" w:hAnsi="Arial" w:cs="Arial"/>
          <w:i/>
          <w:iCs/>
          <w:sz w:val="20"/>
          <w:szCs w:val="20"/>
        </w:rPr>
        <w:t xml:space="preserve"> housing</w:t>
      </w:r>
      <w:r w:rsidR="00013ED6" w:rsidRPr="00EE0084">
        <w:rPr>
          <w:rFonts w:ascii="Arial" w:hAnsi="Arial" w:cs="Arial"/>
          <w:i/>
          <w:iCs/>
          <w:sz w:val="20"/>
          <w:szCs w:val="20"/>
        </w:rPr>
        <w:t xml:space="preserve"> not only in th</w:t>
      </w:r>
      <w:r w:rsidRPr="00EE0084">
        <w:rPr>
          <w:rFonts w:ascii="Arial" w:hAnsi="Arial" w:cs="Arial"/>
          <w:i/>
          <w:iCs/>
          <w:sz w:val="20"/>
          <w:szCs w:val="20"/>
        </w:rPr>
        <w:t>e</w:t>
      </w:r>
      <w:r w:rsidR="00013ED6" w:rsidRPr="00EE0084">
        <w:rPr>
          <w:rFonts w:ascii="Arial" w:hAnsi="Arial" w:cs="Arial"/>
          <w:i/>
          <w:iCs/>
          <w:sz w:val="20"/>
          <w:szCs w:val="20"/>
        </w:rPr>
        <w:t xml:space="preserve"> definition but throughout the proposed rule</w:t>
      </w:r>
      <w:r w:rsidR="00013ED6" w:rsidRPr="00EE0084">
        <w:rPr>
          <w:rFonts w:cs="Times New Roman"/>
          <w:sz w:val="20"/>
          <w:szCs w:val="20"/>
        </w:rPr>
        <w:t>.</w:t>
      </w:r>
      <w:r w:rsidRPr="00EE0084">
        <w:rPr>
          <w:rFonts w:cs="Times New Roman"/>
          <w:sz w:val="20"/>
          <w:szCs w:val="20"/>
        </w:rPr>
        <w:t>]</w:t>
      </w:r>
      <w:r w:rsidR="00013ED6" w:rsidRPr="00EE0084">
        <w:rPr>
          <w:rFonts w:cs="Times New Roman"/>
          <w:sz w:val="20"/>
          <w:szCs w:val="20"/>
        </w:rPr>
        <w:t xml:space="preserve"> </w:t>
      </w:r>
    </w:p>
    <w:p w14:paraId="4C569EDF" w14:textId="77777777" w:rsidR="00D45744" w:rsidRDefault="00D45744" w:rsidP="00013ED6">
      <w:pPr>
        <w:ind w:left="360"/>
        <w:rPr>
          <w:rFonts w:cs="Times New Roman"/>
        </w:rPr>
      </w:pPr>
    </w:p>
    <w:p w14:paraId="2B8D3E90" w14:textId="10B92D53" w:rsidR="00013ED6" w:rsidRPr="00E21F20" w:rsidRDefault="00013ED6" w:rsidP="00013ED6">
      <w:pPr>
        <w:ind w:left="360"/>
        <w:rPr>
          <w:rFonts w:cs="Times New Roman"/>
        </w:rPr>
      </w:pPr>
      <w:r w:rsidRPr="00E21F20">
        <w:rPr>
          <w:rFonts w:cs="Times New Roman"/>
        </w:rPr>
        <w:t xml:space="preserve"> </w:t>
      </w:r>
      <w:r w:rsidR="00E21F20" w:rsidRPr="00E21F20">
        <w:rPr>
          <w:rFonts w:cs="Times New Roman"/>
        </w:rPr>
        <w:t>[</w:t>
      </w:r>
      <w:r w:rsidR="00E21F20" w:rsidRPr="00E21F20">
        <w:rPr>
          <w:rFonts w:cs="Times New Roman"/>
          <w:i/>
          <w:iCs/>
        </w:rPr>
        <w:t>Your organization</w:t>
      </w:r>
      <w:r w:rsidR="00E21F20" w:rsidRPr="00E21F20">
        <w:rPr>
          <w:rFonts w:cs="Times New Roman"/>
        </w:rPr>
        <w:t xml:space="preserve">] </w:t>
      </w:r>
      <w:r w:rsidRPr="00E21F20">
        <w:rPr>
          <w:rFonts w:cs="Times New Roman"/>
        </w:rPr>
        <w:t>urges HUD to define “affordable” housing as housing that requires a household to spend no more than 30% of their adjusted income on housing expenses (rent or mortgage) and utilities – the Brooke Rule.</w:t>
      </w:r>
    </w:p>
    <w:p w14:paraId="4316AE1E" w14:textId="7D026FD6" w:rsidR="00013ED6" w:rsidRPr="00E21F20" w:rsidRDefault="00013ED6" w:rsidP="00013ED6">
      <w:pPr>
        <w:ind w:left="360"/>
        <w:rPr>
          <w:rFonts w:cs="Times New Roman"/>
        </w:rPr>
      </w:pPr>
    </w:p>
    <w:p w14:paraId="172BFBA4" w14:textId="77777777" w:rsidR="00D45744" w:rsidRPr="00EE0084" w:rsidRDefault="00D45744" w:rsidP="00013ED6">
      <w:pPr>
        <w:ind w:left="360"/>
        <w:rPr>
          <w:rFonts w:cs="Times New Roman"/>
          <w:sz w:val="20"/>
          <w:szCs w:val="20"/>
        </w:rPr>
      </w:pPr>
      <w:r w:rsidRPr="00EE0084">
        <w:rPr>
          <w:rFonts w:cs="Times New Roman"/>
          <w:sz w:val="20"/>
          <w:szCs w:val="20"/>
        </w:rPr>
        <w:t>[</w:t>
      </w:r>
      <w:r w:rsidR="00E21F20" w:rsidRPr="00EE0084">
        <w:rPr>
          <w:rFonts w:ascii="Arial" w:hAnsi="Arial" w:cs="Arial"/>
          <w:i/>
          <w:iCs/>
          <w:sz w:val="20"/>
          <w:szCs w:val="20"/>
        </w:rPr>
        <w:t>Housing also qualifies</w:t>
      </w:r>
      <w:r w:rsidRPr="00EE0084">
        <w:rPr>
          <w:rFonts w:ascii="Arial" w:hAnsi="Arial" w:cs="Arial"/>
          <w:i/>
          <w:iCs/>
          <w:sz w:val="20"/>
          <w:szCs w:val="20"/>
        </w:rPr>
        <w:t xml:space="preserve"> </w:t>
      </w:r>
      <w:r w:rsidR="00E21F20" w:rsidRPr="00EE0084">
        <w:rPr>
          <w:rFonts w:ascii="Arial" w:hAnsi="Arial" w:cs="Arial"/>
          <w:i/>
          <w:iCs/>
          <w:sz w:val="20"/>
          <w:szCs w:val="20"/>
        </w:rPr>
        <w:t xml:space="preserve">if it is affordable to </w:t>
      </w:r>
      <w:r w:rsidRPr="00EE0084">
        <w:rPr>
          <w:rFonts w:ascii="Arial" w:hAnsi="Arial" w:cs="Arial"/>
          <w:i/>
          <w:iCs/>
          <w:sz w:val="20"/>
          <w:szCs w:val="20"/>
        </w:rPr>
        <w:t>“</w:t>
      </w:r>
      <w:r w:rsidR="00E21F20" w:rsidRPr="00EE0084">
        <w:rPr>
          <w:rFonts w:ascii="Arial" w:hAnsi="Arial" w:cs="Arial"/>
          <w:i/>
          <w:iCs/>
          <w:sz w:val="20"/>
          <w:szCs w:val="20"/>
        </w:rPr>
        <w:t>low- and moderate-income households,</w:t>
      </w:r>
      <w:r w:rsidRPr="00EE0084">
        <w:rPr>
          <w:rFonts w:ascii="Arial" w:hAnsi="Arial" w:cs="Arial"/>
          <w:i/>
          <w:iCs/>
          <w:sz w:val="20"/>
          <w:szCs w:val="20"/>
        </w:rPr>
        <w:t>”</w:t>
      </w:r>
      <w:r w:rsidR="00E21F20" w:rsidRPr="00EE0084">
        <w:rPr>
          <w:rFonts w:ascii="Arial" w:hAnsi="Arial" w:cs="Arial"/>
          <w:i/>
          <w:iCs/>
          <w:sz w:val="20"/>
          <w:szCs w:val="20"/>
        </w:rPr>
        <w:t xml:space="preserve"> but “low- and moderate-income” is not sufficient</w:t>
      </w:r>
      <w:r w:rsidR="00E21F20" w:rsidRPr="00EE0084">
        <w:rPr>
          <w:rFonts w:cs="Times New Roman"/>
          <w:sz w:val="20"/>
          <w:szCs w:val="20"/>
        </w:rPr>
        <w:t>.</w:t>
      </w:r>
      <w:r w:rsidRPr="00EE0084">
        <w:rPr>
          <w:rFonts w:cs="Times New Roman"/>
          <w:sz w:val="20"/>
          <w:szCs w:val="20"/>
        </w:rPr>
        <w:t>]</w:t>
      </w:r>
    </w:p>
    <w:p w14:paraId="6ED28A91" w14:textId="77777777" w:rsidR="00D45744" w:rsidRDefault="00D45744" w:rsidP="00013ED6">
      <w:pPr>
        <w:ind w:left="360"/>
        <w:rPr>
          <w:rFonts w:cs="Times New Roman"/>
        </w:rPr>
      </w:pPr>
    </w:p>
    <w:p w14:paraId="61896A90" w14:textId="7D1C3E19" w:rsidR="00E21F20" w:rsidRPr="00E21F20" w:rsidRDefault="00D45744" w:rsidP="00754AEB">
      <w:pPr>
        <w:ind w:left="360"/>
        <w:rPr>
          <w:rFonts w:cs="Times New Roman"/>
        </w:rPr>
      </w:pPr>
      <w:r>
        <w:rPr>
          <w:rFonts w:cs="Times New Roman"/>
        </w:rPr>
        <w:t>Instead of simply using “low- and moderate-income”</w:t>
      </w:r>
      <w:r w:rsidRPr="00D45744">
        <w:rPr>
          <w:rFonts w:cs="Times New Roman"/>
        </w:rPr>
        <w:t xml:space="preserve"> </w:t>
      </w:r>
      <w:r>
        <w:rPr>
          <w:rFonts w:cs="Times New Roman"/>
        </w:rPr>
        <w:t>we</w:t>
      </w:r>
      <w:r w:rsidRPr="00E21F20">
        <w:rPr>
          <w:rFonts w:cs="Times New Roman"/>
        </w:rPr>
        <w:t xml:space="preserve"> suggest</w:t>
      </w:r>
      <w:r>
        <w:rPr>
          <w:rFonts w:cs="Times New Roman"/>
        </w:rPr>
        <w:t>, “</w:t>
      </w:r>
      <w:r w:rsidR="00E21F20" w:rsidRPr="00E21F20">
        <w:rPr>
          <w:rFonts w:cs="Times New Roman"/>
        </w:rPr>
        <w:t>Is affordable to households at a range of income levels</w:t>
      </w:r>
      <w:r>
        <w:rPr>
          <w:rFonts w:cs="Times New Roman"/>
        </w:rPr>
        <w:t>:</w:t>
      </w:r>
      <w:r w:rsidR="00E21F20" w:rsidRPr="00E21F20">
        <w:rPr>
          <w:rFonts w:cs="Times New Roman"/>
        </w:rPr>
        <w:t xml:space="preserve"> </w:t>
      </w:r>
      <w:r w:rsidR="00754AEB">
        <w:rPr>
          <w:rFonts w:cs="Times New Roman"/>
        </w:rPr>
        <w:t>‘</w:t>
      </w:r>
      <w:r w:rsidR="00E21F20" w:rsidRPr="00E21F20">
        <w:rPr>
          <w:rFonts w:cs="Times New Roman"/>
        </w:rPr>
        <w:t>extremely low-income</w:t>
      </w:r>
      <w:r w:rsidR="00754AEB">
        <w:rPr>
          <w:rFonts w:cs="Times New Roman"/>
        </w:rPr>
        <w:t>’</w:t>
      </w:r>
      <w:r w:rsidR="00E21F20" w:rsidRPr="00E21F20">
        <w:rPr>
          <w:rFonts w:cs="Times New Roman"/>
        </w:rPr>
        <w:t xml:space="preserve"> (less than 30% AMI or the federal poverty level), </w:t>
      </w:r>
      <w:r w:rsidR="00754AEB">
        <w:rPr>
          <w:rFonts w:cs="Times New Roman"/>
        </w:rPr>
        <w:t>‘</w:t>
      </w:r>
      <w:r w:rsidR="00E21F20" w:rsidRPr="00E21F20">
        <w:rPr>
          <w:rFonts w:cs="Times New Roman"/>
        </w:rPr>
        <w:t>very low-income</w:t>
      </w:r>
      <w:r w:rsidR="00754AEB">
        <w:rPr>
          <w:rFonts w:cs="Times New Roman"/>
        </w:rPr>
        <w:t>’</w:t>
      </w:r>
      <w:r w:rsidR="00E21F20" w:rsidRPr="00E21F20">
        <w:rPr>
          <w:rFonts w:cs="Times New Roman"/>
        </w:rPr>
        <w:t xml:space="preserve"> (less than 50% AMI and greater than 30% AMI), and </w:t>
      </w:r>
      <w:r w:rsidR="00754AEB">
        <w:rPr>
          <w:rFonts w:cs="Times New Roman"/>
        </w:rPr>
        <w:t>‘</w:t>
      </w:r>
      <w:r w:rsidR="00E21F20" w:rsidRPr="00E21F20">
        <w:rPr>
          <w:rFonts w:cs="Times New Roman"/>
        </w:rPr>
        <w:t>low-income</w:t>
      </w:r>
      <w:r w:rsidR="00754AEB">
        <w:rPr>
          <w:rFonts w:cs="Times New Roman"/>
        </w:rPr>
        <w:t>’</w:t>
      </w:r>
      <w:proofErr w:type="gramStart"/>
      <w:r w:rsidR="00E21F20" w:rsidRPr="00E21F20">
        <w:rPr>
          <w:rFonts w:cs="Times New Roman"/>
        </w:rPr>
        <w:t>/</w:t>
      </w:r>
      <w:r w:rsidR="00754AEB">
        <w:rPr>
          <w:rFonts w:cs="Times New Roman"/>
        </w:rPr>
        <w:t>‘</w:t>
      </w:r>
      <w:proofErr w:type="gramEnd"/>
      <w:r w:rsidR="00E21F20" w:rsidRPr="00E21F20">
        <w:rPr>
          <w:rFonts w:cs="Times New Roman"/>
        </w:rPr>
        <w:t>moderate-income</w:t>
      </w:r>
      <w:r w:rsidR="00754AEB">
        <w:rPr>
          <w:rFonts w:cs="Times New Roman"/>
        </w:rPr>
        <w:t>’</w:t>
      </w:r>
      <w:r w:rsidR="00E21F20" w:rsidRPr="00E21F20">
        <w:rPr>
          <w:rFonts w:cs="Times New Roman"/>
        </w:rPr>
        <w:t xml:space="preserve"> (less than 80% AMI and greater than 50% AMI).”</w:t>
      </w:r>
    </w:p>
    <w:p w14:paraId="7FDB4BDE" w14:textId="1AFA934A" w:rsidR="00E21F20" w:rsidRPr="00E21F20" w:rsidRDefault="00E21F20" w:rsidP="00013ED6">
      <w:pPr>
        <w:ind w:left="360"/>
        <w:rPr>
          <w:rFonts w:cs="Times New Roman"/>
        </w:rPr>
      </w:pPr>
    </w:p>
    <w:p w14:paraId="131896C7" w14:textId="77777777" w:rsidR="00E348DC" w:rsidRPr="00EE0084" w:rsidRDefault="00E348DC" w:rsidP="00E21F20">
      <w:pPr>
        <w:ind w:left="360"/>
        <w:rPr>
          <w:rFonts w:cs="Times New Roman"/>
          <w:sz w:val="20"/>
          <w:szCs w:val="20"/>
        </w:rPr>
      </w:pPr>
      <w:r w:rsidRPr="00EE0084">
        <w:rPr>
          <w:rFonts w:cs="Times New Roman"/>
          <w:sz w:val="20"/>
          <w:szCs w:val="20"/>
        </w:rPr>
        <w:t>[</w:t>
      </w:r>
      <w:r w:rsidR="00E21F20" w:rsidRPr="00EE0084">
        <w:rPr>
          <w:rFonts w:ascii="Arial" w:hAnsi="Arial" w:cs="Arial"/>
          <w:i/>
          <w:iCs/>
          <w:sz w:val="20"/>
          <w:szCs w:val="20"/>
        </w:rPr>
        <w:t>The definition also requires “affordable housing” to be housing that meets “basic habitability requirements.” This does not provide sufficient direction</w:t>
      </w:r>
      <w:r w:rsidR="00E21F20" w:rsidRPr="00EE0084">
        <w:rPr>
          <w:rFonts w:cs="Times New Roman"/>
          <w:sz w:val="20"/>
          <w:szCs w:val="20"/>
        </w:rPr>
        <w:t>.</w:t>
      </w:r>
      <w:r w:rsidRPr="00EE0084">
        <w:rPr>
          <w:rFonts w:cs="Times New Roman"/>
          <w:sz w:val="20"/>
          <w:szCs w:val="20"/>
        </w:rPr>
        <w:t>]</w:t>
      </w:r>
    </w:p>
    <w:p w14:paraId="57D3D4D5" w14:textId="77777777" w:rsidR="00E348DC" w:rsidRDefault="00E348DC" w:rsidP="00E21F20">
      <w:pPr>
        <w:ind w:left="360"/>
        <w:rPr>
          <w:rFonts w:cs="Times New Roman"/>
        </w:rPr>
      </w:pPr>
    </w:p>
    <w:p w14:paraId="657BC504" w14:textId="10A42AB1" w:rsidR="00E348DC" w:rsidRPr="00E21F20" w:rsidRDefault="00E348DC" w:rsidP="00E348DC">
      <w:pPr>
        <w:ind w:left="360"/>
        <w:rPr>
          <w:rFonts w:cs="Times New Roman"/>
        </w:rPr>
      </w:pPr>
      <w:r>
        <w:rPr>
          <w:rFonts w:cs="Times New Roman"/>
        </w:rPr>
        <w:t>Instead of using “basic habitability requirements,” w</w:t>
      </w:r>
      <w:r w:rsidR="00E21F20" w:rsidRPr="00E21F20">
        <w:rPr>
          <w:rFonts w:cs="Times New Roman"/>
        </w:rPr>
        <w:t>e suggest “</w:t>
      </w:r>
      <w:r>
        <w:rPr>
          <w:rFonts w:cs="Times New Roman"/>
        </w:rPr>
        <w:t xml:space="preserve">Housing that meets </w:t>
      </w:r>
      <w:r w:rsidRPr="00E21F20">
        <w:rPr>
          <w:rFonts w:cs="Times New Roman"/>
        </w:rPr>
        <w:t>Housing Quality Standards (HQS) regulations for the Housing Choice Voucher program</w:t>
      </w:r>
      <w:r w:rsidRPr="00E348DC">
        <w:rPr>
          <w:rFonts w:cs="Times New Roman"/>
        </w:rPr>
        <w:t xml:space="preserve"> </w:t>
      </w:r>
      <w:r w:rsidRPr="00E21F20">
        <w:rPr>
          <w:rFonts w:cs="Times New Roman"/>
        </w:rPr>
        <w:t>and the NSPIRE regulations for other HUD programs (or any future modifications or substitutions for those programs),</w:t>
      </w:r>
      <w:r w:rsidRPr="00E348DC">
        <w:rPr>
          <w:rFonts w:cs="Times New Roman"/>
        </w:rPr>
        <w:t xml:space="preserve"> </w:t>
      </w:r>
      <w:r>
        <w:rPr>
          <w:rFonts w:cs="Times New Roman"/>
        </w:rPr>
        <w:t>and state or local habitability requirements for housing not assisted with a federal program.</w:t>
      </w:r>
      <w:r w:rsidRPr="00E348DC">
        <w:rPr>
          <w:rFonts w:cs="Times New Roman"/>
        </w:rPr>
        <w:t xml:space="preserve"> </w:t>
      </w:r>
      <w:r w:rsidRPr="00E21F20">
        <w:rPr>
          <w:rFonts w:cs="Times New Roman"/>
        </w:rPr>
        <w:t>Basic habitability standards for HUD-assisted housing also includes full compliance with all lead-based, carbon monoxide, radon, and environmental quality hazard regulations.</w:t>
      </w:r>
      <w:r>
        <w:rPr>
          <w:rFonts w:cs="Times New Roman"/>
        </w:rPr>
        <w:t xml:space="preserve"> </w:t>
      </w:r>
    </w:p>
    <w:p w14:paraId="4B5EF1D0" w14:textId="7047BD30" w:rsidR="00D21FDE" w:rsidRDefault="00D21FDE" w:rsidP="00CE0526"/>
    <w:p w14:paraId="0B31DD57" w14:textId="612735F7" w:rsidR="00FC17E5" w:rsidRPr="00ED77E9" w:rsidRDefault="00ED77E9" w:rsidP="00ED77E9">
      <w:pPr>
        <w:rPr>
          <w:i/>
          <w:iCs/>
        </w:rPr>
      </w:pPr>
      <w:r>
        <w:t xml:space="preserve">If you have any questions about our comments, please contact </w:t>
      </w:r>
      <w:r w:rsidRPr="00ED77E9">
        <w:rPr>
          <w:i/>
          <w:iCs/>
        </w:rPr>
        <w:t>Person’s name, title, email address, and phone number.</w:t>
      </w:r>
    </w:p>
    <w:sectPr w:rsidR="00FC17E5" w:rsidRPr="00ED77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65F1" w14:textId="77777777" w:rsidR="008A5A83" w:rsidRDefault="008A5A83" w:rsidP="008A5A83">
      <w:r>
        <w:separator/>
      </w:r>
    </w:p>
  </w:endnote>
  <w:endnote w:type="continuationSeparator" w:id="0">
    <w:p w14:paraId="5261B905" w14:textId="77777777" w:rsidR="008A5A83" w:rsidRDefault="008A5A83" w:rsidP="008A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150018"/>
      <w:docPartObj>
        <w:docPartGallery w:val="Page Numbers (Bottom of Page)"/>
        <w:docPartUnique/>
      </w:docPartObj>
    </w:sdtPr>
    <w:sdtEndPr>
      <w:rPr>
        <w:noProof/>
      </w:rPr>
    </w:sdtEndPr>
    <w:sdtContent>
      <w:p w14:paraId="1F1D8AE0" w14:textId="57EF9B4B" w:rsidR="008A5A83" w:rsidRDefault="008A5A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63D444" w14:textId="77777777" w:rsidR="008A5A83" w:rsidRDefault="008A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1105" w14:textId="77777777" w:rsidR="008A5A83" w:rsidRDefault="008A5A83" w:rsidP="008A5A83">
      <w:r>
        <w:separator/>
      </w:r>
    </w:p>
  </w:footnote>
  <w:footnote w:type="continuationSeparator" w:id="0">
    <w:p w14:paraId="18CC5F9D" w14:textId="77777777" w:rsidR="008A5A83" w:rsidRDefault="008A5A83" w:rsidP="008A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244D6"/>
    <w:multiLevelType w:val="hybridMultilevel"/>
    <w:tmpl w:val="30A204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BFF113A"/>
    <w:multiLevelType w:val="hybridMultilevel"/>
    <w:tmpl w:val="18B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F18B7"/>
    <w:multiLevelType w:val="hybridMultilevel"/>
    <w:tmpl w:val="A8789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933828">
    <w:abstractNumId w:val="2"/>
  </w:num>
  <w:num w:numId="2" w16cid:durableId="180779878">
    <w:abstractNumId w:val="1"/>
  </w:num>
  <w:num w:numId="3" w16cid:durableId="1743135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55"/>
    <w:rsid w:val="00013ED6"/>
    <w:rsid w:val="00062FEB"/>
    <w:rsid w:val="00077580"/>
    <w:rsid w:val="00085FEB"/>
    <w:rsid w:val="0009340D"/>
    <w:rsid w:val="000948D1"/>
    <w:rsid w:val="0012490F"/>
    <w:rsid w:val="00135474"/>
    <w:rsid w:val="001826CF"/>
    <w:rsid w:val="00234206"/>
    <w:rsid w:val="00270E01"/>
    <w:rsid w:val="00287D3C"/>
    <w:rsid w:val="0029726F"/>
    <w:rsid w:val="002D0C57"/>
    <w:rsid w:val="00305CFC"/>
    <w:rsid w:val="00321BEE"/>
    <w:rsid w:val="00334B2A"/>
    <w:rsid w:val="0036138A"/>
    <w:rsid w:val="003964B2"/>
    <w:rsid w:val="003C1DF1"/>
    <w:rsid w:val="003C2FC1"/>
    <w:rsid w:val="003F4920"/>
    <w:rsid w:val="003F6438"/>
    <w:rsid w:val="00437EEF"/>
    <w:rsid w:val="004510A9"/>
    <w:rsid w:val="004947DF"/>
    <w:rsid w:val="004C6FC7"/>
    <w:rsid w:val="00564482"/>
    <w:rsid w:val="00584FF5"/>
    <w:rsid w:val="00592A01"/>
    <w:rsid w:val="005C1834"/>
    <w:rsid w:val="0067767C"/>
    <w:rsid w:val="006822F4"/>
    <w:rsid w:val="00683AF4"/>
    <w:rsid w:val="006A53B5"/>
    <w:rsid w:val="006D6E47"/>
    <w:rsid w:val="00721825"/>
    <w:rsid w:val="00754AEB"/>
    <w:rsid w:val="00783B74"/>
    <w:rsid w:val="007B3480"/>
    <w:rsid w:val="007C1303"/>
    <w:rsid w:val="008631A0"/>
    <w:rsid w:val="0088317D"/>
    <w:rsid w:val="008851BA"/>
    <w:rsid w:val="00885A6A"/>
    <w:rsid w:val="008A5A83"/>
    <w:rsid w:val="008C2AD6"/>
    <w:rsid w:val="00900FA1"/>
    <w:rsid w:val="00904630"/>
    <w:rsid w:val="009A13F7"/>
    <w:rsid w:val="009B6A69"/>
    <w:rsid w:val="009C29C7"/>
    <w:rsid w:val="009D48EA"/>
    <w:rsid w:val="00A13440"/>
    <w:rsid w:val="00A40143"/>
    <w:rsid w:val="00AA5269"/>
    <w:rsid w:val="00AA52C7"/>
    <w:rsid w:val="00B02714"/>
    <w:rsid w:val="00C43607"/>
    <w:rsid w:val="00C96A2C"/>
    <w:rsid w:val="00C978BF"/>
    <w:rsid w:val="00CA5D92"/>
    <w:rsid w:val="00CB6530"/>
    <w:rsid w:val="00CE0526"/>
    <w:rsid w:val="00CE2B55"/>
    <w:rsid w:val="00CF1E5A"/>
    <w:rsid w:val="00D21FDE"/>
    <w:rsid w:val="00D45744"/>
    <w:rsid w:val="00D52CD9"/>
    <w:rsid w:val="00E2157B"/>
    <w:rsid w:val="00E21F20"/>
    <w:rsid w:val="00E348DC"/>
    <w:rsid w:val="00E50E8B"/>
    <w:rsid w:val="00EA14EB"/>
    <w:rsid w:val="00EA72E8"/>
    <w:rsid w:val="00ED77E9"/>
    <w:rsid w:val="00EE0084"/>
    <w:rsid w:val="00EF22D3"/>
    <w:rsid w:val="00EF720D"/>
    <w:rsid w:val="00F2733D"/>
    <w:rsid w:val="00F30E02"/>
    <w:rsid w:val="00FA2F62"/>
    <w:rsid w:val="00FC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93C7"/>
  <w15:chartTrackingRefBased/>
  <w15:docId w15:val="{EA272DE9-8321-4398-950D-7EE77C3B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60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43607"/>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C43607"/>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60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C43607"/>
    <w:rPr>
      <w:rFonts w:ascii="Times New Roman" w:eastAsiaTheme="majorEastAsia" w:hAnsi="Times New Roman" w:cstheme="majorBidi"/>
      <w:b/>
      <w:sz w:val="26"/>
      <w:szCs w:val="26"/>
    </w:rPr>
  </w:style>
  <w:style w:type="character" w:styleId="Hyperlink">
    <w:name w:val="Hyperlink"/>
    <w:basedOn w:val="DefaultParagraphFont"/>
    <w:uiPriority w:val="99"/>
    <w:unhideWhenUsed/>
    <w:rsid w:val="004510A9"/>
    <w:rPr>
      <w:color w:val="0563C1" w:themeColor="hyperlink"/>
      <w:u w:val="single"/>
    </w:rPr>
  </w:style>
  <w:style w:type="character" w:styleId="UnresolvedMention">
    <w:name w:val="Unresolved Mention"/>
    <w:basedOn w:val="DefaultParagraphFont"/>
    <w:uiPriority w:val="99"/>
    <w:semiHidden/>
    <w:unhideWhenUsed/>
    <w:rsid w:val="009C29C7"/>
    <w:rPr>
      <w:color w:val="605E5C"/>
      <w:shd w:val="clear" w:color="auto" w:fill="E1DFDD"/>
    </w:rPr>
  </w:style>
  <w:style w:type="paragraph" w:styleId="ListParagraph">
    <w:name w:val="List Paragraph"/>
    <w:basedOn w:val="Normal"/>
    <w:uiPriority w:val="34"/>
    <w:qFormat/>
    <w:rsid w:val="00E2157B"/>
    <w:pPr>
      <w:ind w:left="720"/>
      <w:contextualSpacing/>
    </w:pPr>
  </w:style>
  <w:style w:type="paragraph" w:styleId="Header">
    <w:name w:val="header"/>
    <w:basedOn w:val="Normal"/>
    <w:link w:val="HeaderChar"/>
    <w:uiPriority w:val="99"/>
    <w:unhideWhenUsed/>
    <w:rsid w:val="008A5A83"/>
    <w:pPr>
      <w:tabs>
        <w:tab w:val="center" w:pos="4680"/>
        <w:tab w:val="right" w:pos="9360"/>
      </w:tabs>
    </w:pPr>
  </w:style>
  <w:style w:type="character" w:customStyle="1" w:styleId="HeaderChar">
    <w:name w:val="Header Char"/>
    <w:basedOn w:val="DefaultParagraphFont"/>
    <w:link w:val="Header"/>
    <w:uiPriority w:val="99"/>
    <w:rsid w:val="008A5A83"/>
    <w:rPr>
      <w:rFonts w:ascii="Times New Roman" w:hAnsi="Times New Roman"/>
      <w:sz w:val="24"/>
    </w:rPr>
  </w:style>
  <w:style w:type="paragraph" w:styleId="Footer">
    <w:name w:val="footer"/>
    <w:basedOn w:val="Normal"/>
    <w:link w:val="FooterChar"/>
    <w:uiPriority w:val="99"/>
    <w:unhideWhenUsed/>
    <w:rsid w:val="008A5A83"/>
    <w:pPr>
      <w:tabs>
        <w:tab w:val="center" w:pos="4680"/>
        <w:tab w:val="right" w:pos="9360"/>
      </w:tabs>
    </w:pPr>
  </w:style>
  <w:style w:type="character" w:customStyle="1" w:styleId="FooterChar">
    <w:name w:val="Footer Char"/>
    <w:basedOn w:val="DefaultParagraphFont"/>
    <w:link w:val="Footer"/>
    <w:uiPriority w:val="99"/>
    <w:rsid w:val="008A5A83"/>
    <w:rPr>
      <w:rFonts w:ascii="Times New Roman" w:hAnsi="Times New Roman"/>
      <w:sz w:val="24"/>
    </w:rPr>
  </w:style>
  <w:style w:type="paragraph" w:customStyle="1" w:styleId="Default">
    <w:name w:val="Default"/>
    <w:rsid w:val="00287D3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C13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gulations.gov/commenton/HUD-2023-0009-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Gramlich</dc:creator>
  <cp:keywords/>
  <dc:description/>
  <cp:lastModifiedBy>Ed Gramlich</cp:lastModifiedBy>
  <cp:revision>11</cp:revision>
  <cp:lastPrinted>2023-04-04T19:07:00Z</cp:lastPrinted>
  <dcterms:created xsi:type="dcterms:W3CDTF">2023-03-30T13:25:00Z</dcterms:created>
  <dcterms:modified xsi:type="dcterms:W3CDTF">2023-04-04T19:30:00Z</dcterms:modified>
</cp:coreProperties>
</file>